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_Hlk33452762" w:displacedByCustomXml="next"/>
    <w:bookmarkEnd w:id="0" w:displacedByCustomXml="next"/>
    <w:sdt>
      <w:sdtPr>
        <w:rPr>
          <w:i/>
        </w:rPr>
        <w:id w:val="2048484786"/>
        <w:docPartObj>
          <w:docPartGallery w:val="Custom Cover Pages"/>
          <w:docPartUnique/>
        </w:docPartObj>
      </w:sdtPr>
      <w:sdtEndPr>
        <w:rPr>
          <w:i w:val="0"/>
        </w:rPr>
      </w:sdtEndPr>
      <w:sdtContent>
        <w:tbl>
          <w:tblPr>
            <w:tblStyle w:val="TableGrid"/>
            <w:tblW w:w="1190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9628"/>
            <w:gridCol w:w="1145"/>
          </w:tblGrid>
          <w:tr w:rsidR="00AA4B0F" w:rsidRPr="008B191E" w14:paraId="12D8F184" w14:textId="77777777" w:rsidTr="07A2933F">
            <w:trPr>
              <w:gridBefore w:val="1"/>
              <w:gridAfter w:val="1"/>
              <w:wBefore w:w="1134" w:type="dxa"/>
              <w:wAfter w:w="1145" w:type="dxa"/>
              <w:trHeight w:hRule="exact" w:val="3459"/>
            </w:trPr>
            <w:tc>
              <w:tcPr>
                <w:tcW w:w="9628" w:type="dxa"/>
                <w:shd w:val="clear" w:color="auto" w:fill="auto"/>
              </w:tcPr>
              <w:p w14:paraId="38EDB8D7" w14:textId="77777777" w:rsidR="00842D19" w:rsidRPr="00205187" w:rsidRDefault="0742B19B" w:rsidP="00EE5656">
                <w:pPr>
                  <w:rPr>
                    <w:i/>
                  </w:rPr>
                </w:pPr>
                <w:r w:rsidRPr="00205187">
                  <w:rPr>
                    <w:i/>
                  </w:rPr>
                  <w:drawing>
                    <wp:inline distT="0" distB="0" distL="0" distR="0" wp14:anchorId="75DFAA30" wp14:editId="59B54086">
                      <wp:extent cx="2174400" cy="1155600"/>
                      <wp:effectExtent l="0" t="0" r="0" b="6985"/>
                      <wp:docPr id="1082997167" name="Picture 2" descr="Department for Business, Energy &amp; Industrial Strategy logo" title="Department for Business, Energy &amp; Industrial Strateg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2">
                                <a:extLst>
                                  <a:ext uri="{28A0092B-C50C-407E-A947-70E740481C1C}">
                                    <a14:useLocalDpi xmlns:a14="http://schemas.microsoft.com/office/drawing/2010/main" val="0"/>
                                  </a:ext>
                                </a:extLst>
                              </a:blip>
                              <a:stretch>
                                <a:fillRect/>
                              </a:stretch>
                            </pic:blipFill>
                            <pic:spPr>
                              <a:xfrm>
                                <a:off x="0" y="0"/>
                                <a:ext cx="2174400" cy="1155600"/>
                              </a:xfrm>
                              <a:prstGeom prst="rect">
                                <a:avLst/>
                              </a:prstGeom>
                            </pic:spPr>
                          </pic:pic>
                        </a:graphicData>
                      </a:graphic>
                    </wp:inline>
                  </w:drawing>
                </w:r>
              </w:p>
            </w:tc>
          </w:tr>
          <w:tr w:rsidR="00AA4B0F" w:rsidRPr="00B73348" w14:paraId="0E31ACD8" w14:textId="77777777" w:rsidTr="07A2933F">
            <w:trPr>
              <w:gridBefore w:val="1"/>
              <w:gridAfter w:val="1"/>
              <w:wBefore w:w="1134" w:type="dxa"/>
              <w:wAfter w:w="1145" w:type="dxa"/>
              <w:cantSplit/>
              <w:trHeight w:hRule="exact" w:val="2977"/>
            </w:trPr>
            <w:tc>
              <w:tcPr>
                <w:tcW w:w="9628" w:type="dxa"/>
                <w:shd w:val="clear" w:color="auto" w:fill="auto"/>
              </w:tcPr>
              <w:p w14:paraId="27B60D87" w14:textId="676A56A6" w:rsidR="00842D19" w:rsidRPr="00205187" w:rsidRDefault="00265D24" w:rsidP="009F4A35">
                <w:pPr>
                  <w:pStyle w:val="CoverTitle"/>
                  <w:rPr>
                    <w:i/>
                  </w:rPr>
                </w:pPr>
                <w:r w:rsidRPr="00205187">
                  <w:rPr>
                    <w:i/>
                  </w:rPr>
                  <w:t>‘</w:t>
                </w:r>
                <w:r w:rsidR="0010130F" w:rsidRPr="00205187">
                  <w:rPr>
                    <w:i/>
                  </w:rPr>
                  <w:t xml:space="preserve">Think im gamma </w:t>
                </w:r>
                <w:r w:rsidR="00DE3709" w:rsidRPr="00205187">
                  <w:rPr>
                    <w:i/>
                  </w:rPr>
                  <w:t>need a beer’</w:t>
                </w:r>
              </w:p>
            </w:tc>
          </w:tr>
          <w:tr w:rsidR="00AA4B0F" w:rsidRPr="008B191E" w14:paraId="20CEA799" w14:textId="77777777" w:rsidTr="07A2933F">
            <w:trPr>
              <w:gridBefore w:val="1"/>
              <w:gridAfter w:val="1"/>
              <w:wBefore w:w="1134" w:type="dxa"/>
              <w:wAfter w:w="1145" w:type="dxa"/>
              <w:trHeight w:hRule="exact" w:val="4122"/>
            </w:trPr>
            <w:tc>
              <w:tcPr>
                <w:tcW w:w="9628" w:type="dxa"/>
                <w:shd w:val="clear" w:color="auto" w:fill="auto"/>
              </w:tcPr>
              <w:p w14:paraId="22C081CF" w14:textId="0761DB90" w:rsidR="004B2FDB" w:rsidRDefault="00EE5656" w:rsidP="004256BC">
                <w:pPr>
                  <w:pStyle w:val="CoverSubtitle"/>
                </w:pPr>
                <w:r>
                  <w:t>William Watson</w:t>
                </w:r>
                <w:r w:rsidR="00BF425F">
                  <w:t xml:space="preserve"> &amp; Mat Richardson</w:t>
                </w:r>
              </w:p>
              <w:p w14:paraId="4E40A389" w14:textId="064D9E15" w:rsidR="00842D19" w:rsidRPr="006969C8" w:rsidRDefault="00EE5656" w:rsidP="002D3B27">
                <w:pPr>
                  <w:pStyle w:val="CoverSubtitle"/>
                  <w:rPr>
                    <w:sz w:val="36"/>
                    <w:szCs w:val="36"/>
                  </w:rPr>
                </w:pPr>
                <w:r>
                  <w:rPr>
                    <w:sz w:val="36"/>
                    <w:szCs w:val="36"/>
                  </w:rPr>
                  <w:t>Nuclear Resilience Team</w:t>
                </w:r>
                <w:r w:rsidR="004256BC" w:rsidRPr="006969C8">
                  <w:rPr>
                    <w:sz w:val="36"/>
                    <w:szCs w:val="36"/>
                  </w:rPr>
                  <w:t xml:space="preserve"> </w:t>
                </w:r>
              </w:p>
            </w:tc>
          </w:tr>
          <w:tr w:rsidR="00F77429" w:rsidRPr="008B191E" w14:paraId="2E1C457E" w14:textId="77777777" w:rsidTr="07A2933F">
            <w:trPr>
              <w:cantSplit/>
              <w:trHeight w:hRule="exact" w:val="3402"/>
            </w:trPr>
            <w:tc>
              <w:tcPr>
                <w:tcW w:w="11907" w:type="dxa"/>
                <w:gridSpan w:val="3"/>
                <w:shd w:val="clear" w:color="auto" w:fill="auto"/>
              </w:tcPr>
              <w:p w14:paraId="3300507B" w14:textId="77777777" w:rsidR="00842D19" w:rsidRPr="008B191E" w:rsidRDefault="0742B19B" w:rsidP="00EE5656">
                <w:r>
                  <w:rPr>
                    <w:noProof/>
                  </w:rPr>
                  <w:drawing>
                    <wp:inline distT="0" distB="0" distL="0" distR="0" wp14:anchorId="706A5428" wp14:editId="0B681F78">
                      <wp:extent cx="6119494" cy="1758315"/>
                      <wp:effectExtent l="0" t="0" r="0" b="0"/>
                      <wp:docPr id="481454009" name="Picture 1" descr="Curve image" title="Curve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6119494" cy="1758315"/>
                              </a:xfrm>
                              <a:prstGeom prst="rect">
                                <a:avLst/>
                              </a:prstGeom>
                            </pic:spPr>
                          </pic:pic>
                        </a:graphicData>
                      </a:graphic>
                    </wp:inline>
                  </w:drawing>
                </w:r>
              </w:p>
            </w:tc>
          </w:tr>
          <w:tr w:rsidR="00AA4B0F" w:rsidRPr="008B191E" w14:paraId="378DEBDB" w14:textId="77777777" w:rsidTr="07A2933F">
            <w:trPr>
              <w:gridBefore w:val="1"/>
              <w:gridAfter w:val="1"/>
              <w:wBefore w:w="1134" w:type="dxa"/>
              <w:wAfter w:w="1145" w:type="dxa"/>
            </w:trPr>
            <w:tc>
              <w:tcPr>
                <w:tcW w:w="9628" w:type="dxa"/>
                <w:shd w:val="clear" w:color="auto" w:fill="auto"/>
              </w:tcPr>
              <w:p w14:paraId="0DA2BF34" w14:textId="677101F8" w:rsidR="00842D19" w:rsidRPr="008B191E" w:rsidRDefault="00EE5656" w:rsidP="00EE5656">
                <w:pPr>
                  <w:pStyle w:val="CoverDate"/>
                  <w:rPr>
                    <w:color w:val="auto"/>
                  </w:rPr>
                </w:pPr>
                <w:r>
                  <w:t>February 2020</w:t>
                </w:r>
              </w:p>
            </w:tc>
          </w:tr>
        </w:tbl>
        <w:p w14:paraId="5A9E12B7" w14:textId="77777777" w:rsidR="00842D19" w:rsidRDefault="009A0219">
          <w:pPr>
            <w:sectPr w:rsidR="00842D19" w:rsidSect="005C57AD">
              <w:headerReference w:type="even" r:id="rId14"/>
              <w:headerReference w:type="default" r:id="rId15"/>
              <w:footerReference w:type="even" r:id="rId16"/>
              <w:footerReference w:type="default" r:id="rId17"/>
              <w:headerReference w:type="first" r:id="rId18"/>
              <w:footerReference w:type="first" r:id="rId19"/>
              <w:footnotePr>
                <w:numFmt w:val="lowerRoman"/>
              </w:footnotePr>
              <w:endnotePr>
                <w:numFmt w:val="decimal"/>
              </w:endnotePr>
              <w:pgSz w:w="11906" w:h="16838" w:code="9"/>
              <w:pgMar w:top="851" w:right="1134" w:bottom="1134" w:left="1134" w:header="680" w:footer="567" w:gutter="0"/>
              <w:pgNumType w:start="0"/>
              <w:cols w:space="708"/>
              <w:titlePg/>
              <w:docGrid w:linePitch="360"/>
            </w:sectPr>
          </w:pPr>
        </w:p>
      </w:sdtContent>
    </w:sdt>
    <w:p w14:paraId="40498E0B" w14:textId="77777777" w:rsidR="00393103" w:rsidRDefault="004256BC" w:rsidP="004256BC">
      <w:pPr>
        <w:pStyle w:val="Contents"/>
        <w:rPr>
          <w:noProof/>
        </w:rPr>
      </w:pPr>
      <w:bookmarkStart w:id="1" w:name="_Toc292890753"/>
      <w:r>
        <w:lastRenderedPageBreak/>
        <w:t>Contents</w:t>
      </w:r>
      <w:bookmarkEnd w:id="1"/>
      <w:r>
        <w:rPr>
          <w:color w:val="2B579A"/>
          <w:sz w:val="22"/>
          <w:shd w:val="clear" w:color="auto" w:fill="E6E6E6"/>
        </w:rPr>
        <w:fldChar w:fldCharType="begin"/>
      </w:r>
      <w:r>
        <w:rPr>
          <w:sz w:val="22"/>
        </w:rPr>
        <w:instrText xml:space="preserve"> TOC \o "2-3" \h \z \t "Heading 1,1" </w:instrText>
      </w:r>
      <w:r>
        <w:rPr>
          <w:color w:val="2B579A"/>
          <w:sz w:val="22"/>
          <w:shd w:val="clear" w:color="auto" w:fill="E6E6E6"/>
        </w:rPr>
        <w:fldChar w:fldCharType="separate"/>
      </w:r>
    </w:p>
    <w:p w14:paraId="60DB1FCD" w14:textId="6308458A" w:rsidR="000F22D9" w:rsidRDefault="000F22D9">
      <w:pPr>
        <w:pStyle w:val="TOC1"/>
        <w:rPr>
          <w:rFonts w:asciiTheme="minorHAnsi" w:eastAsiaTheme="minorEastAsia" w:hAnsiTheme="minorHAnsi"/>
          <w:color w:val="auto"/>
          <w:sz w:val="22"/>
          <w:lang w:eastAsia="en-GB"/>
        </w:rPr>
      </w:pPr>
      <w:hyperlink w:anchor="_Toc58423950" w:history="1">
        <w:r w:rsidRPr="001934AF">
          <w:rPr>
            <w:rStyle w:val="Hyperlink"/>
          </w:rPr>
          <w:t>Executive Summary</w:t>
        </w:r>
        <w:r>
          <w:rPr>
            <w:webHidden/>
          </w:rPr>
          <w:tab/>
        </w:r>
        <w:r>
          <w:rPr>
            <w:webHidden/>
          </w:rPr>
          <w:fldChar w:fldCharType="begin"/>
        </w:r>
        <w:r>
          <w:rPr>
            <w:webHidden/>
          </w:rPr>
          <w:instrText xml:space="preserve"> PAGEREF _Toc58423950 \h </w:instrText>
        </w:r>
        <w:r>
          <w:rPr>
            <w:webHidden/>
          </w:rPr>
        </w:r>
        <w:r>
          <w:rPr>
            <w:webHidden/>
          </w:rPr>
          <w:fldChar w:fldCharType="separate"/>
        </w:r>
        <w:r>
          <w:rPr>
            <w:webHidden/>
          </w:rPr>
          <w:t>2</w:t>
        </w:r>
        <w:r>
          <w:rPr>
            <w:webHidden/>
          </w:rPr>
          <w:fldChar w:fldCharType="end"/>
        </w:r>
      </w:hyperlink>
    </w:p>
    <w:p w14:paraId="515FD337" w14:textId="4703C453" w:rsidR="000F22D9" w:rsidRDefault="000F22D9">
      <w:pPr>
        <w:pStyle w:val="TOC1"/>
        <w:rPr>
          <w:rFonts w:asciiTheme="minorHAnsi" w:eastAsiaTheme="minorEastAsia" w:hAnsiTheme="minorHAnsi"/>
          <w:color w:val="auto"/>
          <w:sz w:val="22"/>
          <w:lang w:eastAsia="en-GB"/>
        </w:rPr>
      </w:pPr>
      <w:hyperlink w:anchor="_Toc58423951" w:history="1">
        <w:r w:rsidRPr="001934AF">
          <w:rPr>
            <w:rStyle w:val="Hyperlink"/>
          </w:rPr>
          <w:t>Introduction</w:t>
        </w:r>
        <w:r>
          <w:rPr>
            <w:webHidden/>
          </w:rPr>
          <w:tab/>
        </w:r>
        <w:r>
          <w:rPr>
            <w:webHidden/>
          </w:rPr>
          <w:fldChar w:fldCharType="begin"/>
        </w:r>
        <w:r>
          <w:rPr>
            <w:webHidden/>
          </w:rPr>
          <w:instrText xml:space="preserve"> PAGEREF _Toc58423951 \h </w:instrText>
        </w:r>
        <w:r>
          <w:rPr>
            <w:webHidden/>
          </w:rPr>
        </w:r>
        <w:r>
          <w:rPr>
            <w:webHidden/>
          </w:rPr>
          <w:fldChar w:fldCharType="separate"/>
        </w:r>
        <w:r>
          <w:rPr>
            <w:webHidden/>
          </w:rPr>
          <w:t>3</w:t>
        </w:r>
        <w:r>
          <w:rPr>
            <w:webHidden/>
          </w:rPr>
          <w:fldChar w:fldCharType="end"/>
        </w:r>
      </w:hyperlink>
    </w:p>
    <w:p w14:paraId="6436B35B" w14:textId="3467F06F" w:rsidR="000F22D9" w:rsidRDefault="000F22D9">
      <w:pPr>
        <w:pStyle w:val="TOC1"/>
        <w:rPr>
          <w:rFonts w:asciiTheme="minorHAnsi" w:eastAsiaTheme="minorEastAsia" w:hAnsiTheme="minorHAnsi"/>
          <w:color w:val="auto"/>
          <w:sz w:val="22"/>
          <w:lang w:eastAsia="en-GB"/>
        </w:rPr>
      </w:pPr>
      <w:hyperlink w:anchor="_Toc58423952" w:history="1">
        <w:r w:rsidRPr="001934AF">
          <w:rPr>
            <w:rStyle w:val="Hyperlink"/>
          </w:rPr>
          <w:t>Background</w:t>
        </w:r>
        <w:r>
          <w:rPr>
            <w:webHidden/>
          </w:rPr>
          <w:tab/>
        </w:r>
        <w:r>
          <w:rPr>
            <w:webHidden/>
          </w:rPr>
          <w:fldChar w:fldCharType="begin"/>
        </w:r>
        <w:r>
          <w:rPr>
            <w:webHidden/>
          </w:rPr>
          <w:instrText xml:space="preserve"> PAGEREF _Toc58423952 \h </w:instrText>
        </w:r>
        <w:r>
          <w:rPr>
            <w:webHidden/>
          </w:rPr>
        </w:r>
        <w:r>
          <w:rPr>
            <w:webHidden/>
          </w:rPr>
          <w:fldChar w:fldCharType="separate"/>
        </w:r>
        <w:r>
          <w:rPr>
            <w:webHidden/>
          </w:rPr>
          <w:t>4</w:t>
        </w:r>
        <w:r>
          <w:rPr>
            <w:webHidden/>
          </w:rPr>
          <w:fldChar w:fldCharType="end"/>
        </w:r>
      </w:hyperlink>
    </w:p>
    <w:p w14:paraId="218B83C0" w14:textId="27F26CC0" w:rsidR="000F22D9" w:rsidRDefault="000F22D9">
      <w:pPr>
        <w:pStyle w:val="TOC2"/>
        <w:rPr>
          <w:rFonts w:asciiTheme="minorHAnsi" w:eastAsiaTheme="minorEastAsia" w:hAnsiTheme="minorHAnsi"/>
          <w:color w:val="auto"/>
          <w:sz w:val="22"/>
          <w:lang w:eastAsia="en-GB"/>
        </w:rPr>
      </w:pPr>
      <w:hyperlink w:anchor="_Toc58423953" w:history="1">
        <w:r w:rsidRPr="001934AF">
          <w:rPr>
            <w:rStyle w:val="Hyperlink"/>
          </w:rPr>
          <w:t>RIMNET monitor networks</w:t>
        </w:r>
        <w:r>
          <w:rPr>
            <w:webHidden/>
          </w:rPr>
          <w:tab/>
        </w:r>
        <w:r>
          <w:rPr>
            <w:webHidden/>
          </w:rPr>
          <w:fldChar w:fldCharType="begin"/>
        </w:r>
        <w:r>
          <w:rPr>
            <w:webHidden/>
          </w:rPr>
          <w:instrText xml:space="preserve"> PAGEREF _Toc58423953 \h </w:instrText>
        </w:r>
        <w:r>
          <w:rPr>
            <w:webHidden/>
          </w:rPr>
        </w:r>
        <w:r>
          <w:rPr>
            <w:webHidden/>
          </w:rPr>
          <w:fldChar w:fldCharType="separate"/>
        </w:r>
        <w:r>
          <w:rPr>
            <w:webHidden/>
          </w:rPr>
          <w:t>4</w:t>
        </w:r>
        <w:r>
          <w:rPr>
            <w:webHidden/>
          </w:rPr>
          <w:fldChar w:fldCharType="end"/>
        </w:r>
      </w:hyperlink>
    </w:p>
    <w:p w14:paraId="004A207D" w14:textId="08A6D35E" w:rsidR="000F22D9" w:rsidRDefault="000F22D9">
      <w:pPr>
        <w:pStyle w:val="TOC2"/>
        <w:rPr>
          <w:rFonts w:asciiTheme="minorHAnsi" w:eastAsiaTheme="minorEastAsia" w:hAnsiTheme="minorHAnsi"/>
          <w:color w:val="auto"/>
          <w:sz w:val="22"/>
          <w:lang w:eastAsia="en-GB"/>
        </w:rPr>
      </w:pPr>
      <w:hyperlink w:anchor="_Toc58423954" w:history="1">
        <w:r w:rsidRPr="001934AF">
          <w:rPr>
            <w:rStyle w:val="Hyperlink"/>
          </w:rPr>
          <w:t>Monitor network support and maintenance</w:t>
        </w:r>
        <w:r>
          <w:rPr>
            <w:webHidden/>
          </w:rPr>
          <w:tab/>
        </w:r>
        <w:r>
          <w:rPr>
            <w:webHidden/>
          </w:rPr>
          <w:fldChar w:fldCharType="begin"/>
        </w:r>
        <w:r>
          <w:rPr>
            <w:webHidden/>
          </w:rPr>
          <w:instrText xml:space="preserve"> PAGEREF _Toc58423954 \h </w:instrText>
        </w:r>
        <w:r>
          <w:rPr>
            <w:webHidden/>
          </w:rPr>
        </w:r>
        <w:r>
          <w:rPr>
            <w:webHidden/>
          </w:rPr>
          <w:fldChar w:fldCharType="separate"/>
        </w:r>
        <w:r>
          <w:rPr>
            <w:webHidden/>
          </w:rPr>
          <w:t>6</w:t>
        </w:r>
        <w:r>
          <w:rPr>
            <w:webHidden/>
          </w:rPr>
          <w:fldChar w:fldCharType="end"/>
        </w:r>
      </w:hyperlink>
    </w:p>
    <w:p w14:paraId="36CD16AE" w14:textId="3B427758" w:rsidR="000F22D9" w:rsidRDefault="000F22D9">
      <w:pPr>
        <w:pStyle w:val="TOC2"/>
        <w:rPr>
          <w:rFonts w:asciiTheme="minorHAnsi" w:eastAsiaTheme="minorEastAsia" w:hAnsiTheme="minorHAnsi"/>
          <w:color w:val="auto"/>
          <w:sz w:val="22"/>
          <w:lang w:eastAsia="en-GB"/>
        </w:rPr>
      </w:pPr>
      <w:hyperlink w:anchor="_Toc58423955" w:history="1">
        <w:r w:rsidRPr="001934AF">
          <w:rPr>
            <w:rStyle w:val="Hyperlink"/>
          </w:rPr>
          <w:t>Transition to RREMS</w:t>
        </w:r>
        <w:r>
          <w:rPr>
            <w:webHidden/>
          </w:rPr>
          <w:tab/>
        </w:r>
        <w:r>
          <w:rPr>
            <w:webHidden/>
          </w:rPr>
          <w:fldChar w:fldCharType="begin"/>
        </w:r>
        <w:r>
          <w:rPr>
            <w:webHidden/>
          </w:rPr>
          <w:instrText xml:space="preserve"> PAGEREF _Toc58423955 \h </w:instrText>
        </w:r>
        <w:r>
          <w:rPr>
            <w:webHidden/>
          </w:rPr>
        </w:r>
        <w:r>
          <w:rPr>
            <w:webHidden/>
          </w:rPr>
          <w:fldChar w:fldCharType="separate"/>
        </w:r>
        <w:r>
          <w:rPr>
            <w:webHidden/>
          </w:rPr>
          <w:t>6</w:t>
        </w:r>
        <w:r>
          <w:rPr>
            <w:webHidden/>
          </w:rPr>
          <w:fldChar w:fldCharType="end"/>
        </w:r>
      </w:hyperlink>
    </w:p>
    <w:p w14:paraId="74EBDEAF" w14:textId="6D2EB01C" w:rsidR="000F22D9" w:rsidRDefault="000F22D9">
      <w:pPr>
        <w:pStyle w:val="TOC1"/>
        <w:rPr>
          <w:rFonts w:asciiTheme="minorHAnsi" w:eastAsiaTheme="minorEastAsia" w:hAnsiTheme="minorHAnsi"/>
          <w:color w:val="auto"/>
          <w:sz w:val="22"/>
          <w:lang w:eastAsia="en-GB"/>
        </w:rPr>
      </w:pPr>
      <w:hyperlink w:anchor="_Toc58423956" w:history="1">
        <w:r w:rsidRPr="001934AF">
          <w:rPr>
            <w:rStyle w:val="Hyperlink"/>
          </w:rPr>
          <w:t>Options</w:t>
        </w:r>
        <w:r>
          <w:rPr>
            <w:webHidden/>
          </w:rPr>
          <w:tab/>
        </w:r>
        <w:r>
          <w:rPr>
            <w:webHidden/>
          </w:rPr>
          <w:fldChar w:fldCharType="begin"/>
        </w:r>
        <w:r>
          <w:rPr>
            <w:webHidden/>
          </w:rPr>
          <w:instrText xml:space="preserve"> PAGEREF _Toc58423956 \h </w:instrText>
        </w:r>
        <w:r>
          <w:rPr>
            <w:webHidden/>
          </w:rPr>
        </w:r>
        <w:r>
          <w:rPr>
            <w:webHidden/>
          </w:rPr>
          <w:fldChar w:fldCharType="separate"/>
        </w:r>
        <w:r>
          <w:rPr>
            <w:webHidden/>
          </w:rPr>
          <w:t>7</w:t>
        </w:r>
        <w:r>
          <w:rPr>
            <w:webHidden/>
          </w:rPr>
          <w:fldChar w:fldCharType="end"/>
        </w:r>
      </w:hyperlink>
    </w:p>
    <w:p w14:paraId="17CAE71F" w14:textId="491D053D" w:rsidR="000F22D9" w:rsidRDefault="000F22D9">
      <w:pPr>
        <w:pStyle w:val="TOC2"/>
        <w:rPr>
          <w:rFonts w:asciiTheme="minorHAnsi" w:eastAsiaTheme="minorEastAsia" w:hAnsiTheme="minorHAnsi"/>
          <w:color w:val="auto"/>
          <w:sz w:val="22"/>
          <w:lang w:eastAsia="en-GB"/>
        </w:rPr>
      </w:pPr>
      <w:hyperlink w:anchor="_Toc58423957" w:history="1">
        <w:r w:rsidRPr="001934AF">
          <w:rPr>
            <w:rStyle w:val="Hyperlink"/>
          </w:rPr>
          <w:t>Option 1 - Commission a bridging solution to RREMS</w:t>
        </w:r>
        <w:r>
          <w:rPr>
            <w:webHidden/>
          </w:rPr>
          <w:tab/>
        </w:r>
        <w:r>
          <w:rPr>
            <w:webHidden/>
          </w:rPr>
          <w:fldChar w:fldCharType="begin"/>
        </w:r>
        <w:r>
          <w:rPr>
            <w:webHidden/>
          </w:rPr>
          <w:instrText xml:space="preserve"> PAGEREF _Toc58423957 \h </w:instrText>
        </w:r>
        <w:r>
          <w:rPr>
            <w:webHidden/>
          </w:rPr>
        </w:r>
        <w:r>
          <w:rPr>
            <w:webHidden/>
          </w:rPr>
          <w:fldChar w:fldCharType="separate"/>
        </w:r>
        <w:r>
          <w:rPr>
            <w:webHidden/>
          </w:rPr>
          <w:t>7</w:t>
        </w:r>
        <w:r>
          <w:rPr>
            <w:webHidden/>
          </w:rPr>
          <w:fldChar w:fldCharType="end"/>
        </w:r>
      </w:hyperlink>
    </w:p>
    <w:p w14:paraId="5E115A5D" w14:textId="4EB8669F" w:rsidR="000F22D9" w:rsidRDefault="000F22D9">
      <w:pPr>
        <w:pStyle w:val="TOC2"/>
        <w:rPr>
          <w:rFonts w:asciiTheme="minorHAnsi" w:eastAsiaTheme="minorEastAsia" w:hAnsiTheme="minorHAnsi"/>
          <w:color w:val="auto"/>
          <w:sz w:val="22"/>
          <w:lang w:eastAsia="en-GB"/>
        </w:rPr>
      </w:pPr>
      <w:hyperlink w:anchor="_Toc58423958" w:history="1">
        <w:r w:rsidRPr="001934AF">
          <w:rPr>
            <w:rStyle w:val="Hyperlink"/>
          </w:rPr>
          <w:t>Option 2 – Decommission Fixed Monitor network</w:t>
        </w:r>
        <w:r>
          <w:rPr>
            <w:webHidden/>
          </w:rPr>
          <w:tab/>
        </w:r>
        <w:r>
          <w:rPr>
            <w:webHidden/>
          </w:rPr>
          <w:fldChar w:fldCharType="begin"/>
        </w:r>
        <w:r>
          <w:rPr>
            <w:webHidden/>
          </w:rPr>
          <w:instrText xml:space="preserve"> PAGEREF _Toc58423958 \h </w:instrText>
        </w:r>
        <w:r>
          <w:rPr>
            <w:webHidden/>
          </w:rPr>
        </w:r>
        <w:r>
          <w:rPr>
            <w:webHidden/>
          </w:rPr>
          <w:fldChar w:fldCharType="separate"/>
        </w:r>
        <w:r>
          <w:rPr>
            <w:webHidden/>
          </w:rPr>
          <w:t>8</w:t>
        </w:r>
        <w:r>
          <w:rPr>
            <w:webHidden/>
          </w:rPr>
          <w:fldChar w:fldCharType="end"/>
        </w:r>
      </w:hyperlink>
    </w:p>
    <w:p w14:paraId="5AC49446" w14:textId="28B2C770" w:rsidR="000F22D9" w:rsidRDefault="000F22D9">
      <w:pPr>
        <w:pStyle w:val="TOC3"/>
        <w:tabs>
          <w:tab w:val="right" w:leader="dot" w:pos="9628"/>
        </w:tabs>
        <w:rPr>
          <w:rFonts w:asciiTheme="minorHAnsi" w:eastAsiaTheme="minorEastAsia" w:hAnsiTheme="minorHAnsi"/>
          <w:noProof/>
          <w:sz w:val="22"/>
          <w:lang w:eastAsia="en-GB"/>
        </w:rPr>
      </w:pPr>
      <w:hyperlink w:anchor="_Toc58423959" w:history="1">
        <w:r w:rsidRPr="001934AF">
          <w:rPr>
            <w:rStyle w:val="Hyperlink"/>
            <w:bCs/>
            <w:noProof/>
          </w:rPr>
          <w:t>Option 2C - with existing SARAs and additional spectroscopic monitors</w:t>
        </w:r>
        <w:r>
          <w:rPr>
            <w:noProof/>
            <w:webHidden/>
          </w:rPr>
          <w:tab/>
        </w:r>
        <w:r>
          <w:rPr>
            <w:noProof/>
            <w:webHidden/>
          </w:rPr>
          <w:fldChar w:fldCharType="begin"/>
        </w:r>
        <w:r>
          <w:rPr>
            <w:noProof/>
            <w:webHidden/>
          </w:rPr>
          <w:instrText xml:space="preserve"> PAGEREF _Toc58423959 \h </w:instrText>
        </w:r>
        <w:r>
          <w:rPr>
            <w:noProof/>
            <w:webHidden/>
          </w:rPr>
        </w:r>
        <w:r>
          <w:rPr>
            <w:noProof/>
            <w:webHidden/>
          </w:rPr>
          <w:fldChar w:fldCharType="separate"/>
        </w:r>
        <w:r>
          <w:rPr>
            <w:noProof/>
            <w:webHidden/>
          </w:rPr>
          <w:t>10</w:t>
        </w:r>
        <w:r>
          <w:rPr>
            <w:noProof/>
            <w:webHidden/>
          </w:rPr>
          <w:fldChar w:fldCharType="end"/>
        </w:r>
      </w:hyperlink>
    </w:p>
    <w:p w14:paraId="42793040" w14:textId="4AD1DF55" w:rsidR="000F22D9" w:rsidRDefault="000F22D9">
      <w:pPr>
        <w:pStyle w:val="TOC2"/>
        <w:rPr>
          <w:rFonts w:asciiTheme="minorHAnsi" w:eastAsiaTheme="minorEastAsia" w:hAnsiTheme="minorHAnsi"/>
          <w:color w:val="auto"/>
          <w:sz w:val="22"/>
          <w:lang w:eastAsia="en-GB"/>
        </w:rPr>
      </w:pPr>
      <w:hyperlink w:anchor="_Toc58423960" w:history="1">
        <w:r w:rsidRPr="001934AF">
          <w:rPr>
            <w:rStyle w:val="Hyperlink"/>
          </w:rPr>
          <w:t>Option 3 – Recompete existing support contracts with change of scope</w:t>
        </w:r>
        <w:r>
          <w:rPr>
            <w:webHidden/>
          </w:rPr>
          <w:tab/>
        </w:r>
        <w:r>
          <w:rPr>
            <w:webHidden/>
          </w:rPr>
          <w:fldChar w:fldCharType="begin"/>
        </w:r>
        <w:r>
          <w:rPr>
            <w:webHidden/>
          </w:rPr>
          <w:instrText xml:space="preserve"> PAGEREF _Toc58423960 \h </w:instrText>
        </w:r>
        <w:r>
          <w:rPr>
            <w:webHidden/>
          </w:rPr>
        </w:r>
        <w:r>
          <w:rPr>
            <w:webHidden/>
          </w:rPr>
          <w:fldChar w:fldCharType="separate"/>
        </w:r>
        <w:r>
          <w:rPr>
            <w:webHidden/>
          </w:rPr>
          <w:t>11</w:t>
        </w:r>
        <w:r>
          <w:rPr>
            <w:webHidden/>
          </w:rPr>
          <w:fldChar w:fldCharType="end"/>
        </w:r>
      </w:hyperlink>
    </w:p>
    <w:p w14:paraId="3E3CD387" w14:textId="2719E216" w:rsidR="000F22D9" w:rsidRDefault="000F22D9">
      <w:pPr>
        <w:pStyle w:val="TOC2"/>
        <w:rPr>
          <w:rFonts w:asciiTheme="minorHAnsi" w:eastAsiaTheme="minorEastAsia" w:hAnsiTheme="minorHAnsi"/>
          <w:color w:val="auto"/>
          <w:sz w:val="22"/>
          <w:lang w:eastAsia="en-GB"/>
        </w:rPr>
      </w:pPr>
      <w:hyperlink w:anchor="_Toc58423961" w:history="1">
        <w:r w:rsidRPr="001934AF">
          <w:rPr>
            <w:rStyle w:val="Hyperlink"/>
          </w:rPr>
          <w:t>Implementation</w:t>
        </w:r>
        <w:r>
          <w:rPr>
            <w:webHidden/>
          </w:rPr>
          <w:tab/>
        </w:r>
        <w:r>
          <w:rPr>
            <w:webHidden/>
          </w:rPr>
          <w:fldChar w:fldCharType="begin"/>
        </w:r>
        <w:r>
          <w:rPr>
            <w:webHidden/>
          </w:rPr>
          <w:instrText xml:space="preserve"> PAGEREF _Toc58423961 \h </w:instrText>
        </w:r>
        <w:r>
          <w:rPr>
            <w:webHidden/>
          </w:rPr>
        </w:r>
        <w:r>
          <w:rPr>
            <w:webHidden/>
          </w:rPr>
          <w:fldChar w:fldCharType="separate"/>
        </w:r>
        <w:r>
          <w:rPr>
            <w:webHidden/>
          </w:rPr>
          <w:t>12</w:t>
        </w:r>
        <w:r>
          <w:rPr>
            <w:webHidden/>
          </w:rPr>
          <w:fldChar w:fldCharType="end"/>
        </w:r>
      </w:hyperlink>
    </w:p>
    <w:p w14:paraId="3E8BB870" w14:textId="4E4CCC97" w:rsidR="000F22D9" w:rsidRDefault="000F22D9">
      <w:pPr>
        <w:pStyle w:val="TOC3"/>
        <w:tabs>
          <w:tab w:val="right" w:leader="dot" w:pos="9628"/>
        </w:tabs>
        <w:rPr>
          <w:rFonts w:asciiTheme="minorHAnsi" w:eastAsiaTheme="minorEastAsia" w:hAnsiTheme="minorHAnsi"/>
          <w:noProof/>
          <w:sz w:val="22"/>
          <w:lang w:eastAsia="en-GB"/>
        </w:rPr>
      </w:pPr>
      <w:hyperlink w:anchor="_Toc58423962" w:history="1">
        <w:r w:rsidRPr="001934AF">
          <w:rPr>
            <w:rStyle w:val="Hyperlink"/>
            <w:bCs/>
            <w:noProof/>
          </w:rPr>
          <w:t>Existing Monitoring Network</w:t>
        </w:r>
        <w:r>
          <w:rPr>
            <w:noProof/>
            <w:webHidden/>
          </w:rPr>
          <w:tab/>
        </w:r>
        <w:r>
          <w:rPr>
            <w:noProof/>
            <w:webHidden/>
          </w:rPr>
          <w:fldChar w:fldCharType="begin"/>
        </w:r>
        <w:r>
          <w:rPr>
            <w:noProof/>
            <w:webHidden/>
          </w:rPr>
          <w:instrText xml:space="preserve"> PAGEREF _Toc58423962 \h </w:instrText>
        </w:r>
        <w:r>
          <w:rPr>
            <w:noProof/>
            <w:webHidden/>
          </w:rPr>
        </w:r>
        <w:r>
          <w:rPr>
            <w:noProof/>
            <w:webHidden/>
          </w:rPr>
          <w:fldChar w:fldCharType="separate"/>
        </w:r>
        <w:r>
          <w:rPr>
            <w:noProof/>
            <w:webHidden/>
          </w:rPr>
          <w:t>12</w:t>
        </w:r>
        <w:r>
          <w:rPr>
            <w:noProof/>
            <w:webHidden/>
          </w:rPr>
          <w:fldChar w:fldCharType="end"/>
        </w:r>
      </w:hyperlink>
    </w:p>
    <w:p w14:paraId="112F64BA" w14:textId="5E806E8F" w:rsidR="000F22D9" w:rsidRDefault="000F22D9">
      <w:pPr>
        <w:pStyle w:val="TOC1"/>
        <w:rPr>
          <w:rFonts w:asciiTheme="minorHAnsi" w:eastAsiaTheme="minorEastAsia" w:hAnsiTheme="minorHAnsi"/>
          <w:color w:val="auto"/>
          <w:sz w:val="22"/>
          <w:lang w:eastAsia="en-GB"/>
        </w:rPr>
      </w:pPr>
      <w:hyperlink w:anchor="_Toc58423963" w:history="1">
        <w:r w:rsidRPr="001934AF">
          <w:rPr>
            <w:rStyle w:val="Hyperlink"/>
          </w:rPr>
          <w:t>Appendices</w:t>
        </w:r>
        <w:r>
          <w:rPr>
            <w:webHidden/>
          </w:rPr>
          <w:tab/>
        </w:r>
        <w:r>
          <w:rPr>
            <w:webHidden/>
          </w:rPr>
          <w:fldChar w:fldCharType="begin"/>
        </w:r>
        <w:r>
          <w:rPr>
            <w:webHidden/>
          </w:rPr>
          <w:instrText xml:space="preserve"> PAGEREF _Toc58423963 \h </w:instrText>
        </w:r>
        <w:r>
          <w:rPr>
            <w:webHidden/>
          </w:rPr>
        </w:r>
        <w:r>
          <w:rPr>
            <w:webHidden/>
          </w:rPr>
          <w:fldChar w:fldCharType="separate"/>
        </w:r>
        <w:r>
          <w:rPr>
            <w:webHidden/>
          </w:rPr>
          <w:t>14</w:t>
        </w:r>
        <w:r>
          <w:rPr>
            <w:webHidden/>
          </w:rPr>
          <w:fldChar w:fldCharType="end"/>
        </w:r>
      </w:hyperlink>
    </w:p>
    <w:p w14:paraId="6237E459" w14:textId="4233CD9F" w:rsidR="000F22D9" w:rsidRDefault="000F22D9">
      <w:pPr>
        <w:pStyle w:val="TOC1"/>
        <w:rPr>
          <w:rFonts w:asciiTheme="minorHAnsi" w:eastAsiaTheme="minorEastAsia" w:hAnsiTheme="minorHAnsi"/>
          <w:color w:val="auto"/>
          <w:sz w:val="22"/>
          <w:lang w:eastAsia="en-GB"/>
        </w:rPr>
      </w:pPr>
      <w:hyperlink w:anchor="_Toc58423964" w:history="1">
        <w:r w:rsidRPr="001934AF">
          <w:rPr>
            <w:rStyle w:val="Hyperlink"/>
            <w:highlight w:val="lightGray"/>
          </w:rPr>
          <w:t>References</w:t>
        </w:r>
        <w:r>
          <w:rPr>
            <w:webHidden/>
          </w:rPr>
          <w:tab/>
        </w:r>
        <w:r>
          <w:rPr>
            <w:webHidden/>
          </w:rPr>
          <w:fldChar w:fldCharType="begin"/>
        </w:r>
        <w:r>
          <w:rPr>
            <w:webHidden/>
          </w:rPr>
          <w:instrText xml:space="preserve"> PAGEREF _Toc58423964 \h </w:instrText>
        </w:r>
        <w:r>
          <w:rPr>
            <w:webHidden/>
          </w:rPr>
        </w:r>
        <w:r>
          <w:rPr>
            <w:webHidden/>
          </w:rPr>
          <w:fldChar w:fldCharType="separate"/>
        </w:r>
        <w:r>
          <w:rPr>
            <w:webHidden/>
          </w:rPr>
          <w:t>15</w:t>
        </w:r>
        <w:r>
          <w:rPr>
            <w:webHidden/>
          </w:rPr>
          <w:fldChar w:fldCharType="end"/>
        </w:r>
      </w:hyperlink>
    </w:p>
    <w:p w14:paraId="0DB5E035" w14:textId="3BC5C6E1" w:rsidR="00CD08B5" w:rsidRPr="00CD1952" w:rsidRDefault="004256BC" w:rsidP="00CD1952">
      <w:pPr>
        <w:pStyle w:val="Heading1"/>
      </w:pPr>
      <w:r>
        <w:rPr>
          <w:color w:val="2B579A"/>
          <w:shd w:val="clear" w:color="auto" w:fill="E6E6E6"/>
        </w:rPr>
        <w:lastRenderedPageBreak/>
        <w:fldChar w:fldCharType="end"/>
      </w:r>
      <w:bookmarkStart w:id="2" w:name="OLE_LINK2"/>
      <w:bookmarkStart w:id="3" w:name="OLE_LINK3"/>
      <w:bookmarkStart w:id="4" w:name="_Toc58423950"/>
      <w:r w:rsidR="007A17E2">
        <w:t>Executive Summar</w:t>
      </w:r>
      <w:r w:rsidR="00CD1952">
        <w:t>y</w:t>
      </w:r>
      <w:bookmarkEnd w:id="4"/>
    </w:p>
    <w:p w14:paraId="4635EAF0" w14:textId="051175F8" w:rsidR="004256BC" w:rsidRDefault="00525817" w:rsidP="00525817">
      <w:pPr>
        <w:pStyle w:val="Heading1"/>
      </w:pPr>
      <w:bookmarkStart w:id="5" w:name="_Toc58423951"/>
      <w:r>
        <w:lastRenderedPageBreak/>
        <w:t>In</w:t>
      </w:r>
      <w:r w:rsidR="00EE5656">
        <w:t>troduction</w:t>
      </w:r>
      <w:bookmarkEnd w:id="5"/>
    </w:p>
    <w:p w14:paraId="0B021F2C" w14:textId="54CA2881" w:rsidR="008E5F97" w:rsidRDefault="00930884" w:rsidP="00CC4062">
      <w:r>
        <w:t xml:space="preserve">The fixed network </w:t>
      </w:r>
      <w:r w:rsidR="00140A36">
        <w:t xml:space="preserve">of gamma dose rate monitors </w:t>
      </w:r>
      <w:r w:rsidR="008E5F97">
        <w:t>makes</w:t>
      </w:r>
      <w:r>
        <w:t xml:space="preserve"> up just under 40% of the UK’s </w:t>
      </w:r>
      <w:r w:rsidR="00A95EBD">
        <w:t>RIMNET</w:t>
      </w:r>
      <w:r>
        <w:t xml:space="preserve"> monitoring capability. </w:t>
      </w:r>
      <w:r w:rsidR="008E5F97" w:rsidRPr="008E5F97">
        <w:t xml:space="preserve">Currently, the </w:t>
      </w:r>
      <w:r w:rsidR="00D95330">
        <w:t>private</w:t>
      </w:r>
      <w:r w:rsidR="008E5F97" w:rsidRPr="008E5F97">
        <w:t xml:space="preserve"> network that the monitors sit upon terminates in CGI data centres</w:t>
      </w:r>
      <w:r w:rsidR="00B12B21">
        <w:t xml:space="preserve">. </w:t>
      </w:r>
      <w:r w:rsidR="005A0314">
        <w:t>This solutio</w:t>
      </w:r>
      <w:r w:rsidR="000430B6">
        <w:t xml:space="preserve">n </w:t>
      </w:r>
      <w:r w:rsidR="00B86215">
        <w:t xml:space="preserve">is not enduring as the RIMNET system </w:t>
      </w:r>
      <w:r w:rsidR="00906293">
        <w:t xml:space="preserve">will be decommissioned and </w:t>
      </w:r>
      <w:r w:rsidR="00B86215">
        <w:t xml:space="preserve">replaced by a cloud-based application called RREMS </w:t>
      </w:r>
      <w:r w:rsidR="004A16A4">
        <w:t>(due for completion in December 2021)</w:t>
      </w:r>
      <w:r w:rsidR="007B6393">
        <w:t xml:space="preserve">. </w:t>
      </w:r>
      <w:r w:rsidR="00976BB5">
        <w:t xml:space="preserve">To ensure </w:t>
      </w:r>
      <w:r w:rsidR="00FE344A">
        <w:t xml:space="preserve">RREMS </w:t>
      </w:r>
      <w:r w:rsidR="00E5278C">
        <w:t>can</w:t>
      </w:r>
      <w:r w:rsidR="00FE344A">
        <w:t xml:space="preserve"> communicate and receive data from the fixed monitors, </w:t>
      </w:r>
      <w:r w:rsidR="00F0040D">
        <w:t xml:space="preserve">a new computing interface </w:t>
      </w:r>
      <w:r w:rsidR="00AC7944">
        <w:t xml:space="preserve">needs to be developed </w:t>
      </w:r>
      <w:r w:rsidR="00250D60">
        <w:t>to facilitate the two-way information exchange between the monitors and the application.</w:t>
      </w:r>
    </w:p>
    <w:p w14:paraId="76850160" w14:textId="23517BAF" w:rsidR="00250D60" w:rsidRDefault="00250D60" w:rsidP="00CC4062">
      <w:r>
        <w:t xml:space="preserve">In addition to the need for this new interface, the existing monitor support and maintenance contract with Ultra Electronics is due to expire in July 2022. </w:t>
      </w:r>
      <w:r w:rsidR="00AD3B14">
        <w:t xml:space="preserve">This paper </w:t>
      </w:r>
      <w:r w:rsidR="002612DB">
        <w:t xml:space="preserve">outlines several options </w:t>
      </w:r>
      <w:r w:rsidR="008C04D8">
        <w:t xml:space="preserve">to maintain </w:t>
      </w:r>
      <w:r w:rsidR="00922428">
        <w:t xml:space="preserve">the existing </w:t>
      </w:r>
      <w:r w:rsidR="009766AB">
        <w:t xml:space="preserve">national monitor network capability in view </w:t>
      </w:r>
      <w:r w:rsidR="00C70BD5">
        <w:t>of</w:t>
      </w:r>
      <w:r w:rsidR="00BD0E6D">
        <w:t xml:space="preserve"> the dates for RREMS deployment and monitor contract renewal.</w:t>
      </w:r>
    </w:p>
    <w:p w14:paraId="444E3D13" w14:textId="454F5852" w:rsidR="00CC4062" w:rsidRPr="00CC4062" w:rsidRDefault="00CC4062" w:rsidP="00CC4062">
      <w:pPr>
        <w:pStyle w:val="Heading1"/>
      </w:pPr>
      <w:bookmarkStart w:id="6" w:name="_Toc58423952"/>
      <w:r>
        <w:lastRenderedPageBreak/>
        <w:t>Background</w:t>
      </w:r>
      <w:bookmarkEnd w:id="6"/>
    </w:p>
    <w:p w14:paraId="1B22CF23" w14:textId="0BF3B880" w:rsidR="00EE5656" w:rsidRDefault="00EE5656" w:rsidP="00EE5656">
      <w:r w:rsidRPr="005A65C4">
        <w:t>As part of BEIS’ L</w:t>
      </w:r>
      <w:r w:rsidR="00BD0E6D">
        <w:t xml:space="preserve">ead </w:t>
      </w:r>
      <w:r w:rsidR="00C53406">
        <w:t>Government</w:t>
      </w:r>
      <w:r w:rsidR="00BD0E6D">
        <w:t xml:space="preserve"> Department (LGD)</w:t>
      </w:r>
      <w:r w:rsidRPr="005A65C4">
        <w:t xml:space="preserve"> responsibilities, </w:t>
      </w:r>
      <w:r w:rsidR="00BD0E6D">
        <w:t>they are</w:t>
      </w:r>
      <w:r w:rsidRPr="005A65C4">
        <w:t xml:space="preserve"> responsible for the</w:t>
      </w:r>
      <w:r>
        <w:t xml:space="preserve"> management of the</w:t>
      </w:r>
      <w:r w:rsidRPr="005A65C4">
        <w:t xml:space="preserve"> Radioactive Incident Monitoring Network (RIMNET).</w:t>
      </w:r>
      <w:r>
        <w:t xml:space="preserve"> </w:t>
      </w:r>
      <w:r w:rsidRPr="005A65C4">
        <w:t>RIMNET is the UK Government’s national radiation monitoring and nuclear emergency response system</w:t>
      </w:r>
      <w:r w:rsidR="0021732B">
        <w:t xml:space="preserve"> and </w:t>
      </w:r>
      <w:r w:rsidR="0065658C">
        <w:t>monitoring network</w:t>
      </w:r>
      <w:r w:rsidRPr="005A65C4">
        <w:t xml:space="preserve">. </w:t>
      </w:r>
      <w:r w:rsidR="00D87E06">
        <w:t xml:space="preserve">RIMNET </w:t>
      </w:r>
      <w:r w:rsidRPr="005A65C4">
        <w:t xml:space="preserve">was set up </w:t>
      </w:r>
      <w:r>
        <w:t xml:space="preserve">in 1988 </w:t>
      </w:r>
      <w:r w:rsidRPr="005A65C4">
        <w:t xml:space="preserve">following the Chernobyl accident to provide the UK with the capability to monitor the effects from overseas nuclear incidents. </w:t>
      </w:r>
    </w:p>
    <w:p w14:paraId="3F4428E8" w14:textId="742EE074" w:rsidR="00FD4AA3" w:rsidRDefault="00FD4AA3" w:rsidP="00FD4AA3">
      <w:pPr>
        <w:pStyle w:val="Heading2"/>
      </w:pPr>
      <w:bookmarkStart w:id="7" w:name="_Toc58423953"/>
      <w:r>
        <w:t xml:space="preserve">RIMNET </w:t>
      </w:r>
      <w:r w:rsidR="002E33D3">
        <w:t xml:space="preserve">monitor </w:t>
      </w:r>
      <w:r>
        <w:t>network</w:t>
      </w:r>
      <w:r w:rsidR="002E33D3">
        <w:t>s</w:t>
      </w:r>
      <w:bookmarkEnd w:id="7"/>
    </w:p>
    <w:p w14:paraId="28D0C938" w14:textId="06EC884F" w:rsidR="00436B94" w:rsidRDefault="00FD4AA3" w:rsidP="00DA7634">
      <w:r>
        <w:t>The original RIMNET network was comprised of 96</w:t>
      </w:r>
      <w:r>
        <w:rPr>
          <w:rStyle w:val="FootnoteReference"/>
        </w:rPr>
        <w:footnoteReference w:id="2"/>
      </w:r>
      <w:r>
        <w:t xml:space="preserve"> gamma radiation detectors distributed geographically evenly across the UK. </w:t>
      </w:r>
      <w:r w:rsidR="00436B94" w:rsidRPr="005A65C4">
        <w:t xml:space="preserve">The </w:t>
      </w:r>
      <w:r w:rsidR="00436B94">
        <w:t>original</w:t>
      </w:r>
      <w:r w:rsidR="00436B94" w:rsidRPr="005A65C4">
        <w:t xml:space="preserve"> </w:t>
      </w:r>
      <w:r w:rsidR="00436B94">
        <w:t xml:space="preserve">monitors </w:t>
      </w:r>
      <w:r w:rsidR="00E94FF5">
        <w:t>were designed and built by Ultra E</w:t>
      </w:r>
      <w:r w:rsidR="005B4CBB">
        <w:t>nergy</w:t>
      </w:r>
      <w:r w:rsidR="00E94FF5">
        <w:t xml:space="preserve"> </w:t>
      </w:r>
      <w:r w:rsidR="00E7216C">
        <w:t>Ltd</w:t>
      </w:r>
      <w:r w:rsidR="002043FE">
        <w:t xml:space="preserve"> </w:t>
      </w:r>
      <w:r w:rsidR="00E94FF5">
        <w:t xml:space="preserve">and </w:t>
      </w:r>
      <w:r w:rsidR="00436B94">
        <w:t xml:space="preserve">are referred to as </w:t>
      </w:r>
      <w:r w:rsidR="00436B94" w:rsidRPr="005A65C4">
        <w:t>‘fixed monitors’ (Geiger-Muller tubes</w:t>
      </w:r>
      <w:r w:rsidR="00436B94">
        <w:rPr>
          <w:rStyle w:val="EndnoteReference"/>
        </w:rPr>
        <w:endnoteReference w:id="2"/>
      </w:r>
      <w:r w:rsidR="00436B94" w:rsidRPr="005A65C4">
        <w:t>)</w:t>
      </w:r>
      <w:r w:rsidR="00E7216C">
        <w:t>. A</w:t>
      </w:r>
      <w:r w:rsidR="00E1231A">
        <w:t xml:space="preserve"> BT </w:t>
      </w:r>
      <w:proofErr w:type="spellStart"/>
      <w:r w:rsidR="00E1231A">
        <w:t>Cardway</w:t>
      </w:r>
      <w:proofErr w:type="spellEnd"/>
      <w:r w:rsidR="00E1231A">
        <w:t xml:space="preserve"> </w:t>
      </w:r>
      <w:r w:rsidR="00084F30">
        <w:t xml:space="preserve">network </w:t>
      </w:r>
      <w:r w:rsidR="00E7216C">
        <w:t xml:space="preserve">is used </w:t>
      </w:r>
      <w:r w:rsidR="003F249F">
        <w:t xml:space="preserve">to </w:t>
      </w:r>
      <w:r w:rsidR="00E7216C">
        <w:t>transmit dose rate data</w:t>
      </w:r>
      <w:r w:rsidR="00DA7634">
        <w:t xml:space="preserve"> over a private MPLS network</w:t>
      </w:r>
      <w:r w:rsidR="003F249F">
        <w:t xml:space="preserve">, </w:t>
      </w:r>
      <w:r w:rsidR="00DA7634">
        <w:t xml:space="preserve">routing </w:t>
      </w:r>
      <w:r w:rsidR="003F249F">
        <w:t>to both</w:t>
      </w:r>
      <w:r w:rsidR="00DA7634">
        <w:t xml:space="preserve"> </w:t>
      </w:r>
      <w:r w:rsidR="00870AFD">
        <w:t>RIMNET</w:t>
      </w:r>
      <w:r w:rsidR="00566486">
        <w:t xml:space="preserve"> </w:t>
      </w:r>
      <w:r w:rsidR="00DA7634">
        <w:t>Data Centre</w:t>
      </w:r>
      <w:r w:rsidR="00870AFD">
        <w:t>s</w:t>
      </w:r>
      <w:r w:rsidR="00DA7634">
        <w:t xml:space="preserve"> (</w:t>
      </w:r>
      <w:r w:rsidR="00870AFD">
        <w:t>Exeter and Waterton)</w:t>
      </w:r>
      <w:r w:rsidR="00566486">
        <w:t>.</w:t>
      </w:r>
    </w:p>
    <w:p w14:paraId="55850888" w14:textId="7690A8B3" w:rsidR="005F483C" w:rsidRDefault="005F483C" w:rsidP="0065658C">
      <w:pPr>
        <w:jc w:val="center"/>
      </w:pPr>
      <w:r>
        <w:rPr>
          <w:noProof/>
        </w:rPr>
        <w:drawing>
          <wp:inline distT="0" distB="0" distL="0" distR="0" wp14:anchorId="26A4D995" wp14:editId="00A731AD">
            <wp:extent cx="4820904" cy="33648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20">
                      <a:extLst>
                        <a:ext uri="{28A0092B-C50C-407E-A947-70E740481C1C}">
                          <a14:useLocalDpi xmlns:a14="http://schemas.microsoft.com/office/drawing/2010/main" val="0"/>
                        </a:ext>
                      </a:extLst>
                    </a:blip>
                    <a:stretch>
                      <a:fillRect/>
                    </a:stretch>
                  </pic:blipFill>
                  <pic:spPr>
                    <a:xfrm>
                      <a:off x="0" y="0"/>
                      <a:ext cx="4837889" cy="3376685"/>
                    </a:xfrm>
                    <a:prstGeom prst="rect">
                      <a:avLst/>
                    </a:prstGeom>
                  </pic:spPr>
                </pic:pic>
              </a:graphicData>
            </a:graphic>
          </wp:inline>
        </w:drawing>
      </w:r>
    </w:p>
    <w:p w14:paraId="719E4A4E" w14:textId="6214B2B8" w:rsidR="0065658C" w:rsidRDefault="0065658C" w:rsidP="0065658C">
      <w:pPr>
        <w:pStyle w:val="Caption"/>
      </w:pPr>
      <w:r>
        <w:t xml:space="preserve">Figure </w:t>
      </w:r>
      <w:fldSimple w:instr=" SEQ Figure \* ARABIC ">
        <w:r w:rsidR="006F0EB6">
          <w:rPr>
            <w:noProof/>
          </w:rPr>
          <w:t>1</w:t>
        </w:r>
      </w:fldSimple>
      <w:r>
        <w:t xml:space="preserve"> – Insert caption here</w:t>
      </w:r>
    </w:p>
    <w:p w14:paraId="34E23149" w14:textId="7403EB08" w:rsidR="00FD4AA3" w:rsidRDefault="00FD4AA3" w:rsidP="00FD4AA3">
      <w:r w:rsidRPr="005A65C4">
        <w:t xml:space="preserve">The </w:t>
      </w:r>
      <w:r w:rsidR="00D57899">
        <w:t xml:space="preserve">RIMNET </w:t>
      </w:r>
      <w:r w:rsidRPr="005A65C4">
        <w:t xml:space="preserve">network has </w:t>
      </w:r>
      <w:r w:rsidR="008D1C67">
        <w:t>more recently been</w:t>
      </w:r>
      <w:r w:rsidRPr="005A65C4">
        <w:t xml:space="preserve"> supplemented with </w:t>
      </w:r>
      <w:r w:rsidR="0065658C">
        <w:t xml:space="preserve">an </w:t>
      </w:r>
      <w:r w:rsidRPr="005A65C4">
        <w:t xml:space="preserve">additional </w:t>
      </w:r>
      <w:r w:rsidR="0065658C">
        <w:t xml:space="preserve">140 </w:t>
      </w:r>
      <w:r w:rsidR="00E2608F">
        <w:t xml:space="preserve">gamma dose rate </w:t>
      </w:r>
      <w:r>
        <w:t>monitors</w:t>
      </w:r>
      <w:r w:rsidR="00FC4703">
        <w:t>. The</w:t>
      </w:r>
      <w:r w:rsidR="004263AF">
        <w:t>se</w:t>
      </w:r>
      <w:r>
        <w:t xml:space="preserve"> are referred to as</w:t>
      </w:r>
      <w:r w:rsidRPr="005A65C4">
        <w:t xml:space="preserve"> ‘RIMNET 3 Mobile (R3M) monitors’ </w:t>
      </w:r>
      <w:r w:rsidRPr="005A65C4">
        <w:lastRenderedPageBreak/>
        <w:t>(Geiger-Muller tubes)</w:t>
      </w:r>
      <w:r w:rsidR="004263AF">
        <w:t xml:space="preserve"> and</w:t>
      </w:r>
      <w:r>
        <w:t xml:space="preserve"> are </w:t>
      </w:r>
      <w:r w:rsidRPr="005A65C4">
        <w:t>sited a</w:t>
      </w:r>
      <w:r w:rsidR="004263AF">
        <w:t>round</w:t>
      </w:r>
      <w:r w:rsidRPr="005A65C4">
        <w:t xml:space="preserve"> the </w:t>
      </w:r>
      <w:r w:rsidR="004263AF">
        <w:t>UK coast</w:t>
      </w:r>
      <w:r w:rsidR="00E2608F">
        <w:t>lines</w:t>
      </w:r>
      <w:r w:rsidR="004263AF">
        <w:t>, but also</w:t>
      </w:r>
      <w:r w:rsidRPr="005A65C4">
        <w:t xml:space="preserve"> surrounding civil nuclear sites</w:t>
      </w:r>
      <w:r>
        <w:t xml:space="preserve"> (all operational and some decommissioning sites).</w:t>
      </w:r>
    </w:p>
    <w:p w14:paraId="51A3913B" w14:textId="5322A8FC" w:rsidR="00CF5B1E" w:rsidRDefault="00CF5B1E" w:rsidP="00CF5B1E">
      <w:r>
        <w:t>The R3M Gamma Monitor is a self-contained unit designed and manufactured by Ultra E</w:t>
      </w:r>
      <w:r w:rsidR="002043FE">
        <w:t>nergy</w:t>
      </w:r>
      <w:r>
        <w:t xml:space="preserve"> Ltd. Each R3M contains a GSM phone and GPS receiver, and has been designed to transmit dose rate and position information in RIMNET Supplementary Data format.  By default, this data is sent via e-mail to the RIMNET Central Database. The R3M comms network makes use of a number of ‘free at the point of use’ services to reduce cost, including:  </w:t>
      </w:r>
    </w:p>
    <w:p w14:paraId="7423EC78" w14:textId="77777777" w:rsidR="00FB6A84" w:rsidRDefault="00FB6A84" w:rsidP="00A0395D">
      <w:pPr>
        <w:pStyle w:val="ListParagraph"/>
        <w:numPr>
          <w:ilvl w:val="0"/>
          <w:numId w:val="17"/>
        </w:numPr>
        <w:spacing w:after="160" w:line="259" w:lineRule="auto"/>
      </w:pPr>
      <w:r>
        <w:t xml:space="preserve">Global Positioning Satellite (GPS), </w:t>
      </w:r>
    </w:p>
    <w:p w14:paraId="2133BDDE" w14:textId="77777777" w:rsidR="00FB6A84" w:rsidRDefault="00FB6A84" w:rsidP="00A0395D">
      <w:pPr>
        <w:pStyle w:val="ListParagraph"/>
        <w:numPr>
          <w:ilvl w:val="0"/>
          <w:numId w:val="17"/>
        </w:numPr>
        <w:spacing w:after="160" w:line="259" w:lineRule="auto"/>
      </w:pPr>
      <w:r>
        <w:t>General Packet Radio Service (GPRS)</w:t>
      </w:r>
    </w:p>
    <w:p w14:paraId="5907B44E" w14:textId="77777777" w:rsidR="00FB6A84" w:rsidRDefault="00FB6A84" w:rsidP="00A0395D">
      <w:pPr>
        <w:pStyle w:val="ListParagraph"/>
        <w:numPr>
          <w:ilvl w:val="0"/>
          <w:numId w:val="17"/>
        </w:numPr>
        <w:spacing w:after="160" w:line="259" w:lineRule="auto"/>
      </w:pPr>
      <w:r>
        <w:t>The Internet</w:t>
      </w:r>
    </w:p>
    <w:p w14:paraId="0B710416" w14:textId="7703BC05" w:rsidR="00DD7C4C" w:rsidRDefault="00DD7C4C" w:rsidP="00CF5B1E">
      <w:r>
        <w:t>A low-cost</w:t>
      </w:r>
      <w:r w:rsidR="00CF5B1E">
        <w:t xml:space="preserve"> Simple Mail Transfer Protocol (SMTP) service has been purchased from Amazon (Elastic Compute 2) to </w:t>
      </w:r>
      <w:r w:rsidR="005318F1">
        <w:t xml:space="preserve">facilitate the </w:t>
      </w:r>
      <w:r w:rsidR="00E67CA7">
        <w:t>sending of e-mails over the internet.</w:t>
      </w:r>
    </w:p>
    <w:p w14:paraId="45B27BC4" w14:textId="384ABAD6" w:rsidR="00CF5B1E" w:rsidRDefault="00CF5B1E" w:rsidP="00CF5B1E">
      <w:r>
        <w:t xml:space="preserve">Figure </w:t>
      </w:r>
      <w:r w:rsidR="00020483">
        <w:t>2</w:t>
      </w:r>
      <w:r>
        <w:t xml:space="preserve"> provides a simple diagram of the key comms components of the R3M network. </w:t>
      </w:r>
    </w:p>
    <w:p w14:paraId="6B42F886" w14:textId="3927F043" w:rsidR="00CF5B1E" w:rsidRDefault="00C14E17" w:rsidP="00CF5B1E">
      <w:pPr>
        <w:rPr>
          <w:rFonts w:cs="Arial"/>
          <w:noProof/>
          <w:lang w:eastAsia="en-GB"/>
        </w:rPr>
      </w:pPr>
      <w:r>
        <w:rPr>
          <w:noProof/>
        </w:rPr>
        <w:drawing>
          <wp:inline distT="0" distB="0" distL="0" distR="0" wp14:anchorId="4ED01322" wp14:editId="34775C22">
            <wp:extent cx="5736589" cy="31521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21">
                      <a:extLst>
                        <a:ext uri="{28A0092B-C50C-407E-A947-70E740481C1C}">
                          <a14:useLocalDpi xmlns:a14="http://schemas.microsoft.com/office/drawing/2010/main" val="0"/>
                        </a:ext>
                      </a:extLst>
                    </a:blip>
                    <a:stretch>
                      <a:fillRect/>
                    </a:stretch>
                  </pic:blipFill>
                  <pic:spPr>
                    <a:xfrm>
                      <a:off x="0" y="0"/>
                      <a:ext cx="5736589" cy="3152140"/>
                    </a:xfrm>
                    <a:prstGeom prst="rect">
                      <a:avLst/>
                    </a:prstGeom>
                  </pic:spPr>
                </pic:pic>
              </a:graphicData>
            </a:graphic>
          </wp:inline>
        </w:drawing>
      </w:r>
    </w:p>
    <w:p w14:paraId="26C0A6C4" w14:textId="7935474B" w:rsidR="006F0EB6" w:rsidRDefault="006F0EB6" w:rsidP="006F0EB6">
      <w:pPr>
        <w:pStyle w:val="Caption"/>
      </w:pPr>
      <w:r>
        <w:t xml:space="preserve">Figure </w:t>
      </w:r>
      <w:fldSimple w:instr=" SEQ Figure \* ARABIC ">
        <w:r>
          <w:rPr>
            <w:noProof/>
          </w:rPr>
          <w:t>2</w:t>
        </w:r>
      </w:fldSimple>
      <w:r>
        <w:t xml:space="preserve"> – Insert </w:t>
      </w:r>
      <w:r w:rsidR="00020483">
        <w:t>caption</w:t>
      </w:r>
    </w:p>
    <w:p w14:paraId="7667A2CA" w14:textId="58DCB961" w:rsidR="001C206C" w:rsidRDefault="001C206C" w:rsidP="001C206C">
      <w:r>
        <w:t>In response to recommendation FR-7 of the Weightman review, the RIMNET operations team procured several mobile spectroscopic monitors</w:t>
      </w:r>
      <w:r>
        <w:rPr>
          <w:rStyle w:val="FootnoteReference"/>
        </w:rPr>
        <w:footnoteReference w:id="3"/>
      </w:r>
      <w:r>
        <w:t xml:space="preserve"> with a view to deploying these within the RIMNET network to complement the existing gamma dose monitors. </w:t>
      </w:r>
      <w:r w:rsidRPr="00CA6056">
        <w:t>In September 2016</w:t>
      </w:r>
      <w:r>
        <w:t>,</w:t>
      </w:r>
      <w:r w:rsidRPr="00CA6056">
        <w:t xml:space="preserve"> the Met Office deployed 10 </w:t>
      </w:r>
      <w:r>
        <w:t>of these</w:t>
      </w:r>
      <w:r w:rsidRPr="00CA6056">
        <w:t xml:space="preserve"> monitors </w:t>
      </w:r>
      <w:r>
        <w:t>at</w:t>
      </w:r>
      <w:r w:rsidRPr="00CA6056">
        <w:t xml:space="preserve"> </w:t>
      </w:r>
      <w:r>
        <w:t>a</w:t>
      </w:r>
      <w:r w:rsidRPr="00CA6056">
        <w:t xml:space="preserve"> Met Office</w:t>
      </w:r>
      <w:r>
        <w:t xml:space="preserve"> site in</w:t>
      </w:r>
      <w:r w:rsidRPr="00CA6056">
        <w:t xml:space="preserve"> Camborne</w:t>
      </w:r>
      <w:r>
        <w:t>,</w:t>
      </w:r>
      <w:r w:rsidRPr="00CA6056">
        <w:t xml:space="preserve"> Cornwall.</w:t>
      </w:r>
      <w:r>
        <w:t xml:space="preserve"> The Met Office have delayed deploying these monitors across the UK and integrating them with the RIMNET system until they receive policy guidance from </w:t>
      </w:r>
      <w:r>
        <w:lastRenderedPageBreak/>
        <w:t>BEIS. This issue was considered as part of the PHE Monitoring Review conducted between March 2018 and April 2019. However, the review did not provide BEIS with specific guidance on where the monitors should be deployed within the network and how they should be configured. Given this, BEIS are currently reviewing this with the stakeholder community and in conjunction with the options from this paper that are pursued.</w:t>
      </w:r>
    </w:p>
    <w:p w14:paraId="380C4BF5" w14:textId="670E487A" w:rsidR="00B949FD" w:rsidRDefault="00020483" w:rsidP="00776C41">
      <w:pPr>
        <w:pStyle w:val="Heading2"/>
      </w:pPr>
      <w:bookmarkStart w:id="8" w:name="_Toc58423954"/>
      <w:r>
        <w:t>Monitor network support and maintenance</w:t>
      </w:r>
      <w:bookmarkEnd w:id="8"/>
    </w:p>
    <w:p w14:paraId="7A05A0F0" w14:textId="74B80B56" w:rsidR="00ED3479" w:rsidRDefault="00ED3479" w:rsidP="00B949FD">
      <w:r>
        <w:t xml:space="preserve">The support and maintenance contract </w:t>
      </w:r>
      <w:r w:rsidR="009516F1">
        <w:t xml:space="preserve">is currently </w:t>
      </w:r>
      <w:r w:rsidR="00CB2531">
        <w:t>run by Ultra Electronics</w:t>
      </w:r>
      <w:r w:rsidR="005300DA">
        <w:t xml:space="preserve"> Ltd</w:t>
      </w:r>
      <w:r w:rsidR="00CB2531">
        <w:t>.</w:t>
      </w:r>
      <w:r w:rsidR="00C41134">
        <w:t xml:space="preserve"> The contract is managed on behalf of BEIS by the Met Office.</w:t>
      </w:r>
      <w:r w:rsidR="00CB2531">
        <w:t xml:space="preserve"> </w:t>
      </w:r>
      <w:r w:rsidR="00CD1A4F">
        <w:t xml:space="preserve">Ultra were awarded </w:t>
      </w:r>
      <w:r w:rsidR="0032346E">
        <w:t xml:space="preserve">this contract in 2014 following a </w:t>
      </w:r>
      <w:commentRangeStart w:id="9"/>
      <w:r w:rsidR="0032346E">
        <w:t>competition</w:t>
      </w:r>
      <w:commentRangeEnd w:id="9"/>
      <w:r w:rsidR="005300DA">
        <w:rPr>
          <w:rStyle w:val="CommentReference"/>
        </w:rPr>
        <w:commentReference w:id="9"/>
      </w:r>
      <w:r w:rsidR="0032346E">
        <w:t>.</w:t>
      </w:r>
      <w:r w:rsidR="00794628">
        <w:t xml:space="preserve"> In 2018, a two-year extension option was exercised in the contract </w:t>
      </w:r>
      <w:r w:rsidR="0004241A">
        <w:t xml:space="preserve">as it was </w:t>
      </w:r>
      <w:r w:rsidR="00906D34">
        <w:t xml:space="preserve">hoped BEIS would receive clarity on </w:t>
      </w:r>
      <w:r w:rsidR="00C25B03">
        <w:t>future specification for the network in the UK monitoring review published by PHE in 2019. However, as mentioned in the previous section, th</w:t>
      </w:r>
      <w:r w:rsidR="00F8660E">
        <w:t>is review did not provide</w:t>
      </w:r>
      <w:r w:rsidR="005479F2">
        <w:t xml:space="preserve"> BEIS with sufficient </w:t>
      </w:r>
      <w:r w:rsidR="00104EE6">
        <w:t xml:space="preserve">strategic direction </w:t>
      </w:r>
      <w:r w:rsidR="00675B79">
        <w:t xml:space="preserve">to </w:t>
      </w:r>
      <w:r w:rsidR="00E14F61">
        <w:t>help define the composition of a future national monitoring network</w:t>
      </w:r>
      <w:r w:rsidR="005479F2">
        <w:t>. BEIS subsequently developed a strategic outline case for further investment in the RIMNET monitor network and the procurement of an airborne monitoring capability [ref]. Th</w:t>
      </w:r>
      <w:r w:rsidR="00792736">
        <w:t xml:space="preserve">e strategic case was published in April 2020 and </w:t>
      </w:r>
      <w:r w:rsidR="00C41134">
        <w:t>supported the BEIS Nuclear Resilience team’s bid into the Government’s Comprehensive Spending Review (CSR) in August 2020. In light of the CSR timelines, the Met Office</w:t>
      </w:r>
      <w:r w:rsidR="0035687D">
        <w:t xml:space="preserve"> obtained approval </w:t>
      </w:r>
      <w:r w:rsidR="009110A1">
        <w:t>from [</w:t>
      </w:r>
      <w:commentRangeStart w:id="10"/>
      <w:r w:rsidR="009110A1">
        <w:t xml:space="preserve">Met Office </w:t>
      </w:r>
      <w:r w:rsidR="00F96097">
        <w:t>Commercial</w:t>
      </w:r>
      <w:r w:rsidR="009110A1">
        <w:t>??</w:t>
      </w:r>
      <w:commentRangeEnd w:id="10"/>
      <w:r w:rsidR="0013125E">
        <w:rPr>
          <w:rStyle w:val="CommentReference"/>
        </w:rPr>
        <w:commentReference w:id="10"/>
      </w:r>
      <w:r w:rsidR="001F0961">
        <w:t xml:space="preserve">] to extend the existing </w:t>
      </w:r>
      <w:r w:rsidR="00251FFA">
        <w:t>contract until 31</w:t>
      </w:r>
      <w:r w:rsidR="00251FFA" w:rsidRPr="00251FFA">
        <w:rPr>
          <w:vertAlign w:val="superscript"/>
        </w:rPr>
        <w:t>st</w:t>
      </w:r>
      <w:r w:rsidR="00251FFA">
        <w:t xml:space="preserve"> July 2022.</w:t>
      </w:r>
      <w:r w:rsidR="00F8583D">
        <w:t xml:space="preserve"> Approval was obtained </w:t>
      </w:r>
      <w:r w:rsidR="003F0B4B">
        <w:t xml:space="preserve">on the proviso that BEIS </w:t>
      </w:r>
      <w:r w:rsidR="00C81C22">
        <w:t xml:space="preserve">would utilise this time </w:t>
      </w:r>
      <w:r w:rsidR="003E569D">
        <w:t xml:space="preserve">to update the specification for the existing contract and </w:t>
      </w:r>
      <w:r w:rsidR="0013101C">
        <w:t xml:space="preserve">compete this contract </w:t>
      </w:r>
    </w:p>
    <w:p w14:paraId="6953FF71" w14:textId="086967DA" w:rsidR="00776C41" w:rsidRDefault="008C380B" w:rsidP="00776C41">
      <w:pPr>
        <w:pStyle w:val="Heading2"/>
      </w:pPr>
      <w:bookmarkStart w:id="11" w:name="_Toc58423955"/>
      <w:r>
        <w:t>Transition to RREMS</w:t>
      </w:r>
      <w:bookmarkEnd w:id="11"/>
    </w:p>
    <w:p w14:paraId="42B33477" w14:textId="22E945F7" w:rsidR="00A621CF" w:rsidRDefault="0089151C" w:rsidP="00EE5656">
      <w:r>
        <w:t>The RIMNET System is due to be replaced by the Radiological Response and Emergency Management System (RREMS)</w:t>
      </w:r>
      <w:r w:rsidR="00731730">
        <w:t xml:space="preserve"> towards the end of the 2021-22 FY.</w:t>
      </w:r>
      <w:r w:rsidR="00CF263A">
        <w:t xml:space="preserve"> </w:t>
      </w:r>
      <w:r w:rsidR="000C5331">
        <w:t xml:space="preserve">Upon completion, data from the </w:t>
      </w:r>
      <w:r w:rsidR="009D541A">
        <w:t xml:space="preserve">R3M </w:t>
      </w:r>
      <w:r w:rsidR="007632AD">
        <w:t xml:space="preserve">network </w:t>
      </w:r>
      <w:r w:rsidR="003C5BBF">
        <w:t>(in the form of emails) will be re-</w:t>
      </w:r>
      <w:r w:rsidR="00205EE9">
        <w:t>diverted</w:t>
      </w:r>
      <w:r w:rsidR="003C5BBF">
        <w:t xml:space="preserve"> </w:t>
      </w:r>
      <w:r w:rsidR="00AD0032">
        <w:t xml:space="preserve">to RREMS </w:t>
      </w:r>
      <w:r w:rsidR="00655A47">
        <w:t>via internet.</w:t>
      </w:r>
      <w:r w:rsidR="00B05961">
        <w:t xml:space="preserve"> However, </w:t>
      </w:r>
      <w:r w:rsidR="00B0252B">
        <w:t xml:space="preserve">the </w:t>
      </w:r>
      <w:r w:rsidR="004A716E">
        <w:t xml:space="preserve">telecommunications network for the fixed monitor network cannot be reconfigured </w:t>
      </w:r>
      <w:r w:rsidR="00850A0C">
        <w:t xml:space="preserve">to </w:t>
      </w:r>
      <w:r w:rsidR="000F6B0D">
        <w:t xml:space="preserve">send data to RREMS </w:t>
      </w:r>
      <w:r w:rsidR="00C77DDB">
        <w:t xml:space="preserve">and a bespoke technical solution must be </w:t>
      </w:r>
      <w:r w:rsidR="00051F54">
        <w:t xml:space="preserve">implemented to support this requirement. </w:t>
      </w:r>
      <w:r w:rsidR="00A621CF">
        <w:t>This solution</w:t>
      </w:r>
      <w:r w:rsidR="001B6F65">
        <w:t xml:space="preserve"> will need to be in place </w:t>
      </w:r>
      <w:r w:rsidR="00051F54">
        <w:t>at the start of the parallel</w:t>
      </w:r>
      <w:r w:rsidR="00D061A0">
        <w:t xml:space="preserve"> running phase for </w:t>
      </w:r>
      <w:r w:rsidR="001B6F65">
        <w:t xml:space="preserve">RREMS and RIMNET to allow </w:t>
      </w:r>
      <w:r w:rsidR="00376C49">
        <w:t xml:space="preserve">full testing of the RREMS application. </w:t>
      </w:r>
    </w:p>
    <w:p w14:paraId="136878B8" w14:textId="476BCBB8" w:rsidR="009F5565" w:rsidRDefault="009F5565" w:rsidP="009F5565">
      <w:pPr>
        <w:pStyle w:val="Heading1"/>
      </w:pPr>
      <w:bookmarkStart w:id="12" w:name="_Toc58423956"/>
      <w:bookmarkEnd w:id="2"/>
      <w:bookmarkEnd w:id="3"/>
      <w:r>
        <w:lastRenderedPageBreak/>
        <w:t>Options</w:t>
      </w:r>
      <w:bookmarkEnd w:id="12"/>
      <w:r w:rsidR="008D5521">
        <w:t xml:space="preserve"> for monitor </w:t>
      </w:r>
      <w:r w:rsidR="006A516B">
        <w:t>support and maintenance</w:t>
      </w:r>
    </w:p>
    <w:p w14:paraId="7FE65002" w14:textId="2E85AAB5" w:rsidR="00A86778" w:rsidRPr="00A86778" w:rsidRDefault="00DF0E0B" w:rsidP="00A86778">
      <w:pPr>
        <w:pStyle w:val="Heading2"/>
      </w:pPr>
      <w:bookmarkStart w:id="13" w:name="_Toc58423957"/>
      <w:r>
        <w:t xml:space="preserve">Option </w:t>
      </w:r>
      <w:r w:rsidR="001E51C8">
        <w:t xml:space="preserve">1 - </w:t>
      </w:r>
      <w:r w:rsidR="0033022D">
        <w:t xml:space="preserve">Commission a bridging solution </w:t>
      </w:r>
      <w:r>
        <w:t>to</w:t>
      </w:r>
      <w:r w:rsidR="0033022D">
        <w:t xml:space="preserve"> RREMS</w:t>
      </w:r>
      <w:bookmarkEnd w:id="13"/>
    </w:p>
    <w:p w14:paraId="654EAF55" w14:textId="39F3E232" w:rsidR="00F348DB" w:rsidRPr="00F348DB" w:rsidRDefault="00F348DB" w:rsidP="00832855">
      <w:pPr>
        <w:pStyle w:val="NotesExample"/>
        <w:rPr>
          <w:b w:val="0"/>
          <w:bCs/>
        </w:rPr>
      </w:pPr>
      <w:r>
        <w:rPr>
          <w:b w:val="0"/>
          <w:bCs/>
        </w:rPr>
        <w:t xml:space="preserve">One option to resolve this issue is to </w:t>
      </w:r>
      <w:r w:rsidR="002E728C">
        <w:rPr>
          <w:b w:val="0"/>
          <w:bCs/>
        </w:rPr>
        <w:t>develop a ‘bridge’</w:t>
      </w:r>
      <w:r w:rsidR="00677668">
        <w:rPr>
          <w:b w:val="0"/>
          <w:bCs/>
        </w:rPr>
        <w:t xml:space="preserve"> from</w:t>
      </w:r>
      <w:r w:rsidRPr="00F348DB">
        <w:rPr>
          <w:b w:val="0"/>
          <w:bCs/>
        </w:rPr>
        <w:t xml:space="preserve"> the fixed monitor’s BT </w:t>
      </w:r>
      <w:proofErr w:type="spellStart"/>
      <w:r w:rsidRPr="00F348DB">
        <w:rPr>
          <w:b w:val="0"/>
          <w:bCs/>
        </w:rPr>
        <w:t>Cardway</w:t>
      </w:r>
      <w:proofErr w:type="spellEnd"/>
      <w:r w:rsidRPr="00F348DB">
        <w:rPr>
          <w:b w:val="0"/>
          <w:bCs/>
        </w:rPr>
        <w:t xml:space="preserve"> polling system to the new RREMS application.</w:t>
      </w:r>
      <w:r w:rsidR="00677668">
        <w:rPr>
          <w:b w:val="0"/>
          <w:bCs/>
        </w:rPr>
        <w:t xml:space="preserve"> The brid</w:t>
      </w:r>
      <w:r w:rsidR="00EE14A8">
        <w:rPr>
          <w:b w:val="0"/>
          <w:bCs/>
        </w:rPr>
        <w:t>g</w:t>
      </w:r>
      <w:r w:rsidR="00677668">
        <w:rPr>
          <w:b w:val="0"/>
          <w:bCs/>
        </w:rPr>
        <w:t xml:space="preserve">e will be in the form of a </w:t>
      </w:r>
      <w:r w:rsidR="00A95C5B">
        <w:rPr>
          <w:b w:val="0"/>
          <w:bCs/>
        </w:rPr>
        <w:t xml:space="preserve">fully </w:t>
      </w:r>
      <w:r w:rsidR="00EE14A8">
        <w:rPr>
          <w:b w:val="0"/>
          <w:bCs/>
        </w:rPr>
        <w:t>managed webservice</w:t>
      </w:r>
      <w:r w:rsidR="007F79C0">
        <w:rPr>
          <w:b w:val="0"/>
          <w:bCs/>
        </w:rPr>
        <w:t>.</w:t>
      </w:r>
      <w:r w:rsidR="00EE14A8">
        <w:rPr>
          <w:b w:val="0"/>
          <w:bCs/>
        </w:rPr>
        <w:t xml:space="preserve"> </w:t>
      </w:r>
    </w:p>
    <w:p w14:paraId="68CA9B87" w14:textId="116C9099" w:rsidR="00805054" w:rsidRDefault="00175BD8" w:rsidP="00175BD8">
      <w:pPr>
        <w:rPr>
          <w:szCs w:val="24"/>
        </w:rPr>
      </w:pPr>
      <w:r w:rsidRPr="00175BD8">
        <w:rPr>
          <w:szCs w:val="24"/>
        </w:rPr>
        <w:t xml:space="preserve">BEIS already have </w:t>
      </w:r>
      <w:r w:rsidR="00A45B38">
        <w:rPr>
          <w:szCs w:val="24"/>
        </w:rPr>
        <w:t xml:space="preserve">received </w:t>
      </w:r>
      <w:r w:rsidRPr="00175BD8">
        <w:rPr>
          <w:szCs w:val="24"/>
        </w:rPr>
        <w:t>quot</w:t>
      </w:r>
      <w:r>
        <w:rPr>
          <w:szCs w:val="24"/>
        </w:rPr>
        <w:t>ations for this service from both CGI Ltd and Ultra Energy</w:t>
      </w:r>
      <w:r w:rsidR="00EB278E">
        <w:rPr>
          <w:szCs w:val="24"/>
        </w:rPr>
        <w:t xml:space="preserve"> Ltd. The requirement was shared with both organisation in 2019 </w:t>
      </w:r>
      <w:r w:rsidR="00805054">
        <w:rPr>
          <w:szCs w:val="24"/>
        </w:rPr>
        <w:t>and ??</w:t>
      </w:r>
    </w:p>
    <w:p w14:paraId="1E848DB7" w14:textId="13F9D680" w:rsidR="00175BD8" w:rsidRPr="00175BD8" w:rsidRDefault="00A83D9B" w:rsidP="00175BD8">
      <w:pPr>
        <w:rPr>
          <w:szCs w:val="24"/>
        </w:rPr>
      </w:pPr>
      <w:r>
        <w:rPr>
          <w:szCs w:val="24"/>
        </w:rPr>
        <w:t xml:space="preserve">The webservice will need to </w:t>
      </w:r>
      <w:r w:rsidR="00613C4D">
        <w:rPr>
          <w:szCs w:val="24"/>
        </w:rPr>
        <w:t xml:space="preserve">be available to RREMS at the point at which parallel running with RIMNET commences. </w:t>
      </w:r>
      <w:r w:rsidR="00D31B07">
        <w:rPr>
          <w:szCs w:val="24"/>
        </w:rPr>
        <w:t xml:space="preserve">In the </w:t>
      </w:r>
      <w:r w:rsidR="008F373B">
        <w:rPr>
          <w:szCs w:val="24"/>
        </w:rPr>
        <w:t>CGI proposal</w:t>
      </w:r>
      <w:r w:rsidR="004F5ABE">
        <w:rPr>
          <w:szCs w:val="24"/>
        </w:rPr>
        <w:t xml:space="preserve"> </w:t>
      </w:r>
      <w:r w:rsidR="00D31B07">
        <w:rPr>
          <w:szCs w:val="24"/>
        </w:rPr>
        <w:t>[ref]</w:t>
      </w:r>
      <w:r w:rsidR="008F373B">
        <w:rPr>
          <w:szCs w:val="24"/>
        </w:rPr>
        <w:t xml:space="preserve"> </w:t>
      </w:r>
      <w:r w:rsidR="004F5ABE">
        <w:rPr>
          <w:szCs w:val="24"/>
        </w:rPr>
        <w:t xml:space="preserve">they </w:t>
      </w:r>
      <w:r w:rsidR="008F373B">
        <w:rPr>
          <w:szCs w:val="24"/>
        </w:rPr>
        <w:t xml:space="preserve">suggested it would </w:t>
      </w:r>
      <w:r w:rsidR="004F5ABE">
        <w:rPr>
          <w:szCs w:val="24"/>
        </w:rPr>
        <w:t xml:space="preserve">take </w:t>
      </w:r>
      <w:r w:rsidR="009453F1">
        <w:rPr>
          <w:szCs w:val="24"/>
        </w:rPr>
        <w:t xml:space="preserve">4 months to </w:t>
      </w:r>
      <w:r w:rsidR="004F5ABE">
        <w:rPr>
          <w:szCs w:val="24"/>
        </w:rPr>
        <w:t>implement</w:t>
      </w:r>
      <w:r w:rsidR="008F373B">
        <w:rPr>
          <w:szCs w:val="24"/>
        </w:rPr>
        <w:t xml:space="preserve">, meaning </w:t>
      </w:r>
      <w:r w:rsidR="004F5ABE">
        <w:rPr>
          <w:szCs w:val="24"/>
        </w:rPr>
        <w:t>the</w:t>
      </w:r>
      <w:r w:rsidR="008F373B">
        <w:rPr>
          <w:szCs w:val="24"/>
        </w:rPr>
        <w:t xml:space="preserve"> contract </w:t>
      </w:r>
      <w:r w:rsidR="004F5ABE">
        <w:rPr>
          <w:szCs w:val="24"/>
        </w:rPr>
        <w:t xml:space="preserve">for these services </w:t>
      </w:r>
      <w:r w:rsidR="008F373B">
        <w:rPr>
          <w:szCs w:val="24"/>
        </w:rPr>
        <w:t xml:space="preserve">would need to be awarded by </w:t>
      </w:r>
      <w:r w:rsidR="00DA4BCD">
        <w:rPr>
          <w:szCs w:val="24"/>
        </w:rPr>
        <w:t>June 2021</w:t>
      </w:r>
      <w:r w:rsidR="004265FF">
        <w:rPr>
          <w:szCs w:val="24"/>
        </w:rPr>
        <w:t>.</w:t>
      </w:r>
    </w:p>
    <w:tbl>
      <w:tblPr>
        <w:tblStyle w:val="TableGrid"/>
        <w:tblW w:w="0" w:type="auto"/>
        <w:tblLook w:val="04A0" w:firstRow="1" w:lastRow="0" w:firstColumn="1" w:lastColumn="0" w:noHBand="0" w:noVBand="1"/>
      </w:tblPr>
      <w:tblGrid>
        <w:gridCol w:w="2407"/>
        <w:gridCol w:w="2407"/>
        <w:gridCol w:w="2407"/>
        <w:gridCol w:w="2407"/>
      </w:tblGrid>
      <w:tr w:rsidR="00E92301" w14:paraId="59FA567A" w14:textId="77777777" w:rsidTr="00E92301">
        <w:tc>
          <w:tcPr>
            <w:tcW w:w="2407" w:type="dxa"/>
          </w:tcPr>
          <w:p w14:paraId="47773E25" w14:textId="77777777" w:rsidR="00E92301" w:rsidRDefault="00E92301" w:rsidP="00832855">
            <w:pPr>
              <w:pStyle w:val="NotesExample"/>
              <w:rPr>
                <w:b w:val="0"/>
                <w:bCs/>
                <w:szCs w:val="24"/>
              </w:rPr>
            </w:pPr>
          </w:p>
        </w:tc>
        <w:tc>
          <w:tcPr>
            <w:tcW w:w="2407" w:type="dxa"/>
          </w:tcPr>
          <w:p w14:paraId="4497F805" w14:textId="29E9D744" w:rsidR="00E92301" w:rsidRDefault="00544EB2" w:rsidP="00832855">
            <w:pPr>
              <w:pStyle w:val="NotesExample"/>
              <w:rPr>
                <w:b w:val="0"/>
                <w:bCs/>
                <w:szCs w:val="24"/>
              </w:rPr>
            </w:pPr>
            <w:r>
              <w:rPr>
                <w:b w:val="0"/>
                <w:bCs/>
                <w:szCs w:val="24"/>
              </w:rPr>
              <w:t>CGI Ltd</w:t>
            </w:r>
          </w:p>
        </w:tc>
        <w:tc>
          <w:tcPr>
            <w:tcW w:w="2407" w:type="dxa"/>
          </w:tcPr>
          <w:p w14:paraId="1512A4D8" w14:textId="721D93FE" w:rsidR="00E92301" w:rsidRDefault="00544EB2" w:rsidP="00832855">
            <w:pPr>
              <w:pStyle w:val="NotesExample"/>
              <w:rPr>
                <w:b w:val="0"/>
                <w:bCs/>
                <w:szCs w:val="24"/>
              </w:rPr>
            </w:pPr>
            <w:proofErr w:type="spellStart"/>
            <w:r>
              <w:rPr>
                <w:b w:val="0"/>
                <w:bCs/>
                <w:szCs w:val="24"/>
              </w:rPr>
              <w:t>Ultra Energy</w:t>
            </w:r>
            <w:proofErr w:type="spellEnd"/>
            <w:r>
              <w:rPr>
                <w:b w:val="0"/>
                <w:bCs/>
                <w:szCs w:val="24"/>
              </w:rPr>
              <w:t xml:space="preserve"> Ltd</w:t>
            </w:r>
          </w:p>
        </w:tc>
        <w:tc>
          <w:tcPr>
            <w:tcW w:w="2407" w:type="dxa"/>
          </w:tcPr>
          <w:p w14:paraId="074AC1D2" w14:textId="6D0985B2" w:rsidR="00E92301" w:rsidRDefault="00E92301" w:rsidP="00832855">
            <w:pPr>
              <w:pStyle w:val="NotesExample"/>
              <w:rPr>
                <w:b w:val="0"/>
                <w:bCs/>
                <w:szCs w:val="24"/>
              </w:rPr>
            </w:pPr>
          </w:p>
        </w:tc>
      </w:tr>
      <w:tr w:rsidR="00E92301" w14:paraId="71D31655" w14:textId="77777777" w:rsidTr="00E92301">
        <w:tc>
          <w:tcPr>
            <w:tcW w:w="2407" w:type="dxa"/>
          </w:tcPr>
          <w:p w14:paraId="73D46135" w14:textId="6A740AE9" w:rsidR="00E92301" w:rsidRDefault="00E92301" w:rsidP="00832855">
            <w:pPr>
              <w:pStyle w:val="NotesExample"/>
              <w:rPr>
                <w:b w:val="0"/>
                <w:bCs/>
                <w:szCs w:val="24"/>
              </w:rPr>
            </w:pPr>
            <w:r>
              <w:rPr>
                <w:b w:val="0"/>
                <w:bCs/>
                <w:szCs w:val="24"/>
              </w:rPr>
              <w:t>Development</w:t>
            </w:r>
          </w:p>
        </w:tc>
        <w:tc>
          <w:tcPr>
            <w:tcW w:w="2407" w:type="dxa"/>
          </w:tcPr>
          <w:p w14:paraId="35A214C2" w14:textId="59C2D47D" w:rsidR="00E92301" w:rsidRDefault="00E92301" w:rsidP="00832855">
            <w:pPr>
              <w:pStyle w:val="NotesExample"/>
              <w:rPr>
                <w:b w:val="0"/>
                <w:bCs/>
                <w:szCs w:val="24"/>
              </w:rPr>
            </w:pPr>
            <w:r>
              <w:rPr>
                <w:b w:val="0"/>
                <w:bCs/>
                <w:szCs w:val="24"/>
              </w:rPr>
              <w:t>69,568</w:t>
            </w:r>
          </w:p>
        </w:tc>
        <w:tc>
          <w:tcPr>
            <w:tcW w:w="2407" w:type="dxa"/>
          </w:tcPr>
          <w:p w14:paraId="26031C89" w14:textId="692834F0" w:rsidR="00E92301" w:rsidRDefault="00D94636" w:rsidP="00832855">
            <w:pPr>
              <w:pStyle w:val="NotesExample"/>
              <w:rPr>
                <w:b w:val="0"/>
                <w:bCs/>
                <w:szCs w:val="24"/>
              </w:rPr>
            </w:pPr>
            <w:r>
              <w:rPr>
                <w:b w:val="0"/>
                <w:bCs/>
                <w:szCs w:val="24"/>
              </w:rPr>
              <w:t>£</w:t>
            </w:r>
            <w:r w:rsidR="00F80D1C">
              <w:rPr>
                <w:b w:val="0"/>
                <w:bCs/>
                <w:szCs w:val="24"/>
              </w:rPr>
              <w:t>98</w:t>
            </w:r>
            <w:r>
              <w:rPr>
                <w:b w:val="0"/>
                <w:bCs/>
                <w:szCs w:val="24"/>
              </w:rPr>
              <w:t>,</w:t>
            </w:r>
            <w:r w:rsidR="00F80D1C">
              <w:rPr>
                <w:b w:val="0"/>
                <w:bCs/>
                <w:szCs w:val="24"/>
              </w:rPr>
              <w:t>532 (exc. VAT)</w:t>
            </w:r>
          </w:p>
        </w:tc>
        <w:tc>
          <w:tcPr>
            <w:tcW w:w="2407" w:type="dxa"/>
          </w:tcPr>
          <w:p w14:paraId="606A873D" w14:textId="77777777" w:rsidR="00E92301" w:rsidRDefault="00E92301" w:rsidP="00832855">
            <w:pPr>
              <w:pStyle w:val="NotesExample"/>
              <w:rPr>
                <w:b w:val="0"/>
                <w:bCs/>
                <w:szCs w:val="24"/>
              </w:rPr>
            </w:pPr>
          </w:p>
        </w:tc>
      </w:tr>
      <w:tr w:rsidR="00E92301" w14:paraId="2D71CF5A" w14:textId="77777777" w:rsidTr="00E92301">
        <w:tc>
          <w:tcPr>
            <w:tcW w:w="2407" w:type="dxa"/>
          </w:tcPr>
          <w:p w14:paraId="4A0CBFA7" w14:textId="1FD4E0AB" w:rsidR="00E92301" w:rsidRDefault="00E92301" w:rsidP="00832855">
            <w:pPr>
              <w:pStyle w:val="NotesExample"/>
              <w:rPr>
                <w:b w:val="0"/>
                <w:bCs/>
                <w:szCs w:val="24"/>
              </w:rPr>
            </w:pPr>
            <w:r>
              <w:rPr>
                <w:b w:val="0"/>
                <w:bCs/>
                <w:szCs w:val="24"/>
              </w:rPr>
              <w:t xml:space="preserve">Annual </w:t>
            </w:r>
            <w:r w:rsidR="001D243B">
              <w:rPr>
                <w:b w:val="0"/>
                <w:bCs/>
                <w:szCs w:val="24"/>
              </w:rPr>
              <w:t>support charges</w:t>
            </w:r>
          </w:p>
        </w:tc>
        <w:tc>
          <w:tcPr>
            <w:tcW w:w="2407" w:type="dxa"/>
          </w:tcPr>
          <w:p w14:paraId="66213E69" w14:textId="26F876A4" w:rsidR="00E92301" w:rsidRDefault="001D243B" w:rsidP="00832855">
            <w:pPr>
              <w:pStyle w:val="NotesExample"/>
              <w:rPr>
                <w:b w:val="0"/>
                <w:bCs/>
                <w:szCs w:val="24"/>
              </w:rPr>
            </w:pPr>
            <w:r>
              <w:rPr>
                <w:b w:val="0"/>
                <w:bCs/>
                <w:szCs w:val="24"/>
              </w:rPr>
              <w:t>£205,488</w:t>
            </w:r>
          </w:p>
        </w:tc>
        <w:tc>
          <w:tcPr>
            <w:tcW w:w="2407" w:type="dxa"/>
          </w:tcPr>
          <w:p w14:paraId="24642CB2" w14:textId="3B1078DE" w:rsidR="00E92301" w:rsidRDefault="00D94636" w:rsidP="00832855">
            <w:pPr>
              <w:pStyle w:val="NotesExample"/>
              <w:rPr>
                <w:b w:val="0"/>
                <w:bCs/>
                <w:szCs w:val="24"/>
              </w:rPr>
            </w:pPr>
            <w:r>
              <w:rPr>
                <w:b w:val="0"/>
                <w:bCs/>
                <w:szCs w:val="24"/>
              </w:rPr>
              <w:t>£</w:t>
            </w:r>
            <w:r w:rsidR="004E4C54">
              <w:rPr>
                <w:b w:val="0"/>
                <w:bCs/>
                <w:szCs w:val="24"/>
              </w:rPr>
              <w:t>34</w:t>
            </w:r>
            <w:r>
              <w:rPr>
                <w:b w:val="0"/>
                <w:bCs/>
                <w:szCs w:val="24"/>
              </w:rPr>
              <w:t>,</w:t>
            </w:r>
            <w:r w:rsidR="004E4C54">
              <w:rPr>
                <w:b w:val="0"/>
                <w:bCs/>
                <w:szCs w:val="24"/>
              </w:rPr>
              <w:t>650 (exc. VAT)</w:t>
            </w:r>
          </w:p>
        </w:tc>
        <w:tc>
          <w:tcPr>
            <w:tcW w:w="2407" w:type="dxa"/>
          </w:tcPr>
          <w:p w14:paraId="32136761" w14:textId="77777777" w:rsidR="00E92301" w:rsidRDefault="00E92301" w:rsidP="00832855">
            <w:pPr>
              <w:pStyle w:val="NotesExample"/>
              <w:rPr>
                <w:b w:val="0"/>
                <w:bCs/>
                <w:szCs w:val="24"/>
              </w:rPr>
            </w:pPr>
          </w:p>
        </w:tc>
      </w:tr>
      <w:tr w:rsidR="00E92301" w14:paraId="7AE31DB7" w14:textId="77777777" w:rsidTr="00E92301">
        <w:tc>
          <w:tcPr>
            <w:tcW w:w="2407" w:type="dxa"/>
          </w:tcPr>
          <w:p w14:paraId="022C84BE" w14:textId="4833DB4B" w:rsidR="00E92301" w:rsidRDefault="00E32275" w:rsidP="00832855">
            <w:pPr>
              <w:pStyle w:val="NotesExample"/>
              <w:rPr>
                <w:b w:val="0"/>
                <w:bCs/>
                <w:szCs w:val="24"/>
              </w:rPr>
            </w:pPr>
            <w:r>
              <w:rPr>
                <w:b w:val="0"/>
                <w:bCs/>
                <w:szCs w:val="24"/>
              </w:rPr>
              <w:t>Lead time</w:t>
            </w:r>
          </w:p>
        </w:tc>
        <w:tc>
          <w:tcPr>
            <w:tcW w:w="2407" w:type="dxa"/>
          </w:tcPr>
          <w:p w14:paraId="00ED26B9" w14:textId="464182F5" w:rsidR="00E92301" w:rsidRDefault="00E32275" w:rsidP="00832855">
            <w:pPr>
              <w:pStyle w:val="NotesExample"/>
              <w:rPr>
                <w:b w:val="0"/>
                <w:bCs/>
                <w:szCs w:val="24"/>
              </w:rPr>
            </w:pPr>
            <w:commentRangeStart w:id="14"/>
            <w:r>
              <w:rPr>
                <w:b w:val="0"/>
                <w:bCs/>
                <w:szCs w:val="24"/>
              </w:rPr>
              <w:t>4-months</w:t>
            </w:r>
            <w:commentRangeEnd w:id="14"/>
            <w:r w:rsidR="00E81E29">
              <w:rPr>
                <w:rStyle w:val="CommentReference"/>
                <w:b w:val="0"/>
              </w:rPr>
              <w:commentReference w:id="14"/>
            </w:r>
          </w:p>
        </w:tc>
        <w:tc>
          <w:tcPr>
            <w:tcW w:w="2407" w:type="dxa"/>
          </w:tcPr>
          <w:p w14:paraId="24F33571" w14:textId="5239FECF" w:rsidR="00E92301" w:rsidRDefault="00E81E29" w:rsidP="00832855">
            <w:pPr>
              <w:pStyle w:val="NotesExample"/>
              <w:rPr>
                <w:b w:val="0"/>
                <w:bCs/>
                <w:szCs w:val="24"/>
              </w:rPr>
            </w:pPr>
            <w:r>
              <w:rPr>
                <w:b w:val="0"/>
                <w:bCs/>
                <w:szCs w:val="24"/>
              </w:rPr>
              <w:t>4 months</w:t>
            </w:r>
          </w:p>
        </w:tc>
        <w:tc>
          <w:tcPr>
            <w:tcW w:w="2407" w:type="dxa"/>
          </w:tcPr>
          <w:p w14:paraId="2155FD4C" w14:textId="77777777" w:rsidR="00E92301" w:rsidRDefault="00E92301" w:rsidP="00832855">
            <w:pPr>
              <w:pStyle w:val="NotesExample"/>
              <w:rPr>
                <w:b w:val="0"/>
                <w:bCs/>
                <w:szCs w:val="24"/>
              </w:rPr>
            </w:pPr>
          </w:p>
        </w:tc>
      </w:tr>
    </w:tbl>
    <w:p w14:paraId="7B88E55F" w14:textId="68F6ECAF" w:rsidR="00832855" w:rsidRPr="00175BD8" w:rsidRDefault="00832855" w:rsidP="00832855">
      <w:pPr>
        <w:pStyle w:val="NotesExample"/>
        <w:rPr>
          <w:b w:val="0"/>
          <w:bCs/>
          <w:szCs w:val="24"/>
        </w:rPr>
      </w:pPr>
    </w:p>
    <w:p w14:paraId="7414E80E" w14:textId="379F97EC" w:rsidR="00BB0239" w:rsidRPr="00175BD8" w:rsidRDefault="00BB0239" w:rsidP="006A4BE6">
      <w:pPr>
        <w:pStyle w:val="Heading4"/>
      </w:pPr>
      <w:r w:rsidRPr="00175BD8">
        <w:t>Assumptions</w:t>
      </w:r>
    </w:p>
    <w:p w14:paraId="7B407C9A" w14:textId="77777777" w:rsidR="004265FF" w:rsidRDefault="00A71DB3" w:rsidP="00A0395D">
      <w:pPr>
        <w:pStyle w:val="ListParagraph"/>
        <w:numPr>
          <w:ilvl w:val="0"/>
          <w:numId w:val="19"/>
        </w:numPr>
        <w:rPr>
          <w:szCs w:val="24"/>
        </w:rPr>
      </w:pPr>
      <w:r>
        <w:rPr>
          <w:szCs w:val="24"/>
        </w:rPr>
        <w:t>The service will need to be competed due</w:t>
      </w:r>
      <w:r w:rsidR="004265FF">
        <w:rPr>
          <w:szCs w:val="24"/>
        </w:rPr>
        <w:t xml:space="preserve"> to…..</w:t>
      </w:r>
    </w:p>
    <w:p w14:paraId="5706583D" w14:textId="2B5B1AFA" w:rsidR="00207609" w:rsidRDefault="00261650" w:rsidP="00A0395D">
      <w:pPr>
        <w:pStyle w:val="ListParagraph"/>
        <w:numPr>
          <w:ilvl w:val="0"/>
          <w:numId w:val="19"/>
        </w:numPr>
        <w:rPr>
          <w:szCs w:val="24"/>
        </w:rPr>
      </w:pPr>
      <w:r>
        <w:rPr>
          <w:szCs w:val="24"/>
        </w:rPr>
        <w:t xml:space="preserve">Parallel running of RREMS and RIMNET could begin as early as </w:t>
      </w:r>
      <w:r w:rsidRPr="00733AB5">
        <w:rPr>
          <w:szCs w:val="24"/>
        </w:rPr>
        <w:t>October 2021</w:t>
      </w:r>
      <w:r w:rsidR="005D294D">
        <w:rPr>
          <w:szCs w:val="24"/>
        </w:rPr>
        <w:t xml:space="preserve"> therefore the contract will need to be run </w:t>
      </w:r>
      <w:r w:rsidR="008366A3">
        <w:rPr>
          <w:szCs w:val="24"/>
        </w:rPr>
        <w:t xml:space="preserve">in early 2021 to take account of the </w:t>
      </w:r>
      <w:r w:rsidR="009B4D8D">
        <w:rPr>
          <w:szCs w:val="24"/>
        </w:rPr>
        <w:t>solution delivery times.</w:t>
      </w:r>
      <w:r w:rsidR="00A71DB3">
        <w:rPr>
          <w:szCs w:val="24"/>
        </w:rPr>
        <w:t xml:space="preserve"> </w:t>
      </w:r>
    </w:p>
    <w:p w14:paraId="0093FD4C" w14:textId="50AAED70" w:rsidR="00BB0239" w:rsidRPr="004E76B0" w:rsidRDefault="00261650" w:rsidP="00A0395D">
      <w:pPr>
        <w:pStyle w:val="ListParagraph"/>
        <w:numPr>
          <w:ilvl w:val="0"/>
          <w:numId w:val="19"/>
        </w:numPr>
        <w:rPr>
          <w:szCs w:val="24"/>
        </w:rPr>
      </w:pPr>
      <w:r>
        <w:rPr>
          <w:szCs w:val="24"/>
        </w:rPr>
        <w:t>The webservice will only support the</w:t>
      </w:r>
      <w:r w:rsidR="004E76B0">
        <w:rPr>
          <w:szCs w:val="24"/>
        </w:rPr>
        <w:t xml:space="preserve"> </w:t>
      </w:r>
      <w:r w:rsidR="001547FC">
        <w:rPr>
          <w:szCs w:val="24"/>
        </w:rPr>
        <w:t xml:space="preserve">existing </w:t>
      </w:r>
      <w:r w:rsidR="004E76B0">
        <w:rPr>
          <w:szCs w:val="24"/>
        </w:rPr>
        <w:t xml:space="preserve">fixed </w:t>
      </w:r>
      <w:r w:rsidR="001547FC">
        <w:rPr>
          <w:szCs w:val="24"/>
        </w:rPr>
        <w:t xml:space="preserve">monitor </w:t>
      </w:r>
      <w:r w:rsidR="004E76B0">
        <w:rPr>
          <w:szCs w:val="24"/>
        </w:rPr>
        <w:t>network</w:t>
      </w:r>
      <w:r w:rsidR="00D94636">
        <w:rPr>
          <w:szCs w:val="24"/>
        </w:rPr>
        <w:t>.</w:t>
      </w:r>
    </w:p>
    <w:p w14:paraId="469C9A23" w14:textId="4E2BF945" w:rsidR="00BB0239" w:rsidRPr="00175BD8" w:rsidRDefault="00BB0239" w:rsidP="006A4BE6">
      <w:pPr>
        <w:pStyle w:val="Heading4"/>
      </w:pPr>
      <w:r w:rsidRPr="00175BD8">
        <w:t>Exclusions</w:t>
      </w:r>
    </w:p>
    <w:p w14:paraId="0806A336" w14:textId="7421398D" w:rsidR="00BB0239" w:rsidRPr="009C71A7" w:rsidRDefault="00261650" w:rsidP="00A0395D">
      <w:pPr>
        <w:pStyle w:val="ListParagraph"/>
        <w:numPr>
          <w:ilvl w:val="0"/>
          <w:numId w:val="18"/>
        </w:numPr>
        <w:rPr>
          <w:szCs w:val="24"/>
        </w:rPr>
      </w:pPr>
      <w:r>
        <w:rPr>
          <w:szCs w:val="24"/>
        </w:rPr>
        <w:t>Previous q</w:t>
      </w:r>
      <w:r w:rsidR="00C139F5">
        <w:rPr>
          <w:szCs w:val="24"/>
        </w:rPr>
        <w:t xml:space="preserve">uotes </w:t>
      </w:r>
      <w:r>
        <w:rPr>
          <w:szCs w:val="24"/>
        </w:rPr>
        <w:t xml:space="preserve">have </w:t>
      </w:r>
      <w:r w:rsidR="00C139F5">
        <w:rPr>
          <w:szCs w:val="24"/>
        </w:rPr>
        <w:t>exclude</w:t>
      </w:r>
      <w:r>
        <w:rPr>
          <w:szCs w:val="24"/>
        </w:rPr>
        <w:t>d</w:t>
      </w:r>
      <w:r w:rsidR="00C139F5">
        <w:rPr>
          <w:szCs w:val="24"/>
        </w:rPr>
        <w:t xml:space="preserve"> the infrastructure costs of the BT </w:t>
      </w:r>
      <w:proofErr w:type="spellStart"/>
      <w:r w:rsidR="00C139F5">
        <w:rPr>
          <w:szCs w:val="24"/>
        </w:rPr>
        <w:t>Cardway</w:t>
      </w:r>
      <w:proofErr w:type="spellEnd"/>
      <w:r w:rsidR="00C139F5">
        <w:rPr>
          <w:szCs w:val="24"/>
        </w:rPr>
        <w:t xml:space="preserve"> system and monitors</w:t>
      </w:r>
      <w:r>
        <w:rPr>
          <w:szCs w:val="24"/>
        </w:rPr>
        <w:t>.</w:t>
      </w:r>
      <w:r w:rsidR="00C139F5">
        <w:rPr>
          <w:szCs w:val="24"/>
        </w:rPr>
        <w:t xml:space="preserve"> </w:t>
      </w:r>
      <w:r>
        <w:rPr>
          <w:szCs w:val="24"/>
        </w:rPr>
        <w:t xml:space="preserve">The BT </w:t>
      </w:r>
      <w:proofErr w:type="spellStart"/>
      <w:r>
        <w:rPr>
          <w:szCs w:val="24"/>
        </w:rPr>
        <w:t>Cardway</w:t>
      </w:r>
      <w:proofErr w:type="spellEnd"/>
      <w:r>
        <w:rPr>
          <w:szCs w:val="24"/>
        </w:rPr>
        <w:t xml:space="preserve"> comms are wi</w:t>
      </w:r>
      <w:r w:rsidR="00972D2B">
        <w:rPr>
          <w:szCs w:val="24"/>
        </w:rPr>
        <w:t>thin the</w:t>
      </w:r>
      <w:r w:rsidR="00C139F5">
        <w:rPr>
          <w:szCs w:val="24"/>
        </w:rPr>
        <w:t xml:space="preserve"> scope of Ultra’s contract with the Met Office.</w:t>
      </w:r>
      <w:r w:rsidR="00A71DB3">
        <w:rPr>
          <w:szCs w:val="24"/>
        </w:rPr>
        <w:t xml:space="preserve"> This </w:t>
      </w:r>
      <w:r w:rsidR="001175D7">
        <w:rPr>
          <w:szCs w:val="24"/>
        </w:rPr>
        <w:t>will be an additional one-of</w:t>
      </w:r>
      <w:r w:rsidR="00CF3B3D">
        <w:rPr>
          <w:szCs w:val="24"/>
        </w:rPr>
        <w:t>f</w:t>
      </w:r>
      <w:r w:rsidR="001175D7">
        <w:rPr>
          <w:szCs w:val="24"/>
        </w:rPr>
        <w:t xml:space="preserve"> cost (</w:t>
      </w:r>
      <w:r w:rsidR="009B4D8D">
        <w:rPr>
          <w:szCs w:val="24"/>
        </w:rPr>
        <w:t>c</w:t>
      </w:r>
      <w:r w:rsidR="001175D7">
        <w:rPr>
          <w:szCs w:val="24"/>
        </w:rPr>
        <w:t>irca £10k).</w:t>
      </w:r>
    </w:p>
    <w:p w14:paraId="1C9B8DE2" w14:textId="75B53029" w:rsidR="00BB0239" w:rsidRPr="00175BD8" w:rsidRDefault="00BB0239" w:rsidP="006A4BE6">
      <w:pPr>
        <w:pStyle w:val="Heading4"/>
      </w:pPr>
      <w:r w:rsidRPr="00175BD8">
        <w:lastRenderedPageBreak/>
        <w:t>Risks</w:t>
      </w:r>
    </w:p>
    <w:p w14:paraId="3CA52FE1" w14:textId="542A953A" w:rsidR="00C4038A" w:rsidRDefault="00972D2B" w:rsidP="00A0395D">
      <w:pPr>
        <w:pStyle w:val="ListParagraph"/>
        <w:numPr>
          <w:ilvl w:val="0"/>
          <w:numId w:val="18"/>
        </w:numPr>
      </w:pPr>
      <w:r>
        <w:t xml:space="preserve">Significant </w:t>
      </w:r>
      <w:r w:rsidR="00CF3B3D">
        <w:t xml:space="preserve">annual </w:t>
      </w:r>
      <w:r>
        <w:t>running costs</w:t>
      </w:r>
      <w:r w:rsidR="00107C37">
        <w:t xml:space="preserve"> </w:t>
      </w:r>
      <w:r w:rsidR="0075485B">
        <w:t xml:space="preserve">– </w:t>
      </w:r>
      <w:r w:rsidR="009B4D8D">
        <w:t>t</w:t>
      </w:r>
      <w:r w:rsidR="0075485B">
        <w:t>his requirement</w:t>
      </w:r>
      <w:r w:rsidR="009F1666">
        <w:t xml:space="preserve"> </w:t>
      </w:r>
      <w:r w:rsidR="00B83A99">
        <w:t>can</w:t>
      </w:r>
      <w:r w:rsidR="009F1666">
        <w:t xml:space="preserve"> only be removed once the</w:t>
      </w:r>
      <w:r w:rsidR="0075485B">
        <w:t xml:space="preserve"> fixed monitors</w:t>
      </w:r>
      <w:r w:rsidR="009F1666">
        <w:t xml:space="preserve"> have been decommissioned.</w:t>
      </w:r>
    </w:p>
    <w:p w14:paraId="23C19CC6" w14:textId="42832813" w:rsidR="0033022D" w:rsidRPr="00C4038A" w:rsidRDefault="0033022D" w:rsidP="00A0395D">
      <w:pPr>
        <w:pStyle w:val="ListParagraph"/>
        <w:numPr>
          <w:ilvl w:val="0"/>
          <w:numId w:val="18"/>
        </w:numPr>
      </w:pPr>
      <w:commentRangeStart w:id="15"/>
      <w:r w:rsidRPr="00C4038A">
        <w:rPr>
          <w:bCs/>
          <w:color w:val="FF0000"/>
        </w:rPr>
        <w:t>Need to add section highlighting that Ultra own the IPR for fixed monitors and R3Ms which may impact future providers taking on the service. Solution would be to obtain a licence from Ultra to allow these monitors to be used by other providers.</w:t>
      </w:r>
      <w:commentRangeEnd w:id="15"/>
      <w:r w:rsidR="00D239EB">
        <w:rPr>
          <w:rStyle w:val="CommentReference"/>
        </w:rPr>
        <w:commentReference w:id="15"/>
      </w:r>
    </w:p>
    <w:p w14:paraId="4F0C25F7" w14:textId="58934A45" w:rsidR="00E7744A" w:rsidRDefault="00E7744A" w:rsidP="0029567E"/>
    <w:p w14:paraId="2595141B" w14:textId="078FB786" w:rsidR="003A5CA4" w:rsidRDefault="009D3F02" w:rsidP="000E7E0C">
      <w:pPr>
        <w:pStyle w:val="Heading2"/>
      </w:pPr>
      <w:bookmarkStart w:id="16" w:name="_Toc58423958"/>
      <w:r>
        <w:t xml:space="preserve">Option </w:t>
      </w:r>
      <w:r w:rsidR="001E51C8">
        <w:t xml:space="preserve">2 – </w:t>
      </w:r>
      <w:r w:rsidR="00CB7509">
        <w:t>Decommission</w:t>
      </w:r>
      <w:r w:rsidR="001E51C8">
        <w:t xml:space="preserve"> Fixed Monitor</w:t>
      </w:r>
      <w:r w:rsidR="000E7E0C">
        <w:t xml:space="preserve"> network</w:t>
      </w:r>
      <w:bookmarkEnd w:id="16"/>
      <w:r w:rsidR="000E7E0C">
        <w:t xml:space="preserve"> </w:t>
      </w:r>
    </w:p>
    <w:p w14:paraId="0CA91646" w14:textId="13FC0C6F" w:rsidR="003B30C2" w:rsidRDefault="008C7E90" w:rsidP="002954B4">
      <w:r>
        <w:t xml:space="preserve">If the </w:t>
      </w:r>
      <w:r w:rsidR="009D68CE">
        <w:t xml:space="preserve">fixed network was replaced with </w:t>
      </w:r>
      <w:r w:rsidR="00613DC6">
        <w:t xml:space="preserve">an alternative </w:t>
      </w:r>
      <w:r w:rsidR="002C35AF">
        <w:t>solution</w:t>
      </w:r>
      <w:r w:rsidR="00CE0AAA">
        <w:t xml:space="preserve"> </w:t>
      </w:r>
      <w:r w:rsidR="00613DC6">
        <w:t>which network</w:t>
      </w:r>
      <w:r w:rsidR="003B30C2">
        <w:t xml:space="preserve"> </w:t>
      </w:r>
      <w:r w:rsidR="00CE0AAA">
        <w:t>wireless</w:t>
      </w:r>
      <w:r w:rsidR="003B30C2">
        <w:t xml:space="preserve">ly networked, </w:t>
      </w:r>
      <w:r w:rsidR="00E71E55">
        <w:t>th</w:t>
      </w:r>
      <w:r w:rsidR="00613DC6">
        <w:t>is</w:t>
      </w:r>
      <w:r w:rsidR="00E71E55">
        <w:t xml:space="preserve"> would negate the need for</w:t>
      </w:r>
      <w:r w:rsidR="003B30C2">
        <w:t xml:space="preserve"> </w:t>
      </w:r>
      <w:r w:rsidR="003D4414">
        <w:t xml:space="preserve">a </w:t>
      </w:r>
      <w:r w:rsidR="003B30C2">
        <w:t>bridging s</w:t>
      </w:r>
      <w:r w:rsidR="00E71E55">
        <w:t>olution</w:t>
      </w:r>
      <w:r w:rsidR="009E679E">
        <w:t>.</w:t>
      </w:r>
    </w:p>
    <w:p w14:paraId="75338364" w14:textId="0411B0E6" w:rsidR="00C4038A" w:rsidRDefault="00C4038A" w:rsidP="005F54EE">
      <w:pPr>
        <w:pStyle w:val="Heading3"/>
      </w:pPr>
      <w:r w:rsidRPr="005B7229">
        <w:t>Option 2</w:t>
      </w:r>
      <w:r>
        <w:t>A – Deco</w:t>
      </w:r>
      <w:r w:rsidR="00CB7509">
        <w:t>mmission network and do not replace</w:t>
      </w:r>
    </w:p>
    <w:p w14:paraId="2D03FDDB" w14:textId="7EF90C5D" w:rsidR="005F54EE" w:rsidRDefault="005F54EE" w:rsidP="005F54EE">
      <w:pPr>
        <w:pStyle w:val="Acknowledgements"/>
      </w:pPr>
      <w:commentRangeStart w:id="17"/>
      <w:r>
        <w:t xml:space="preserve">All 92 monitors in the fixed network would be decommissioned </w:t>
      </w:r>
      <w:commentRangeEnd w:id="17"/>
      <w:r w:rsidR="00662B4B">
        <w:rPr>
          <w:rStyle w:val="CommentReference"/>
        </w:rPr>
        <w:commentReference w:id="17"/>
      </w:r>
      <w:r w:rsidR="004044CB">
        <w:t xml:space="preserve">and the RIMNET monitoring network would only consist of </w:t>
      </w:r>
      <w:r w:rsidR="000A6674">
        <w:t>R3M monitors.</w:t>
      </w:r>
    </w:p>
    <w:p w14:paraId="70121171" w14:textId="6276ADC2" w:rsidR="00C4038A" w:rsidRDefault="00CB7509" w:rsidP="005F54EE">
      <w:pPr>
        <w:pStyle w:val="Heading4"/>
      </w:pPr>
      <w:r w:rsidRPr="00CB7509">
        <w:t>Assumptions</w:t>
      </w:r>
    </w:p>
    <w:p w14:paraId="64164C9D" w14:textId="24A85261" w:rsidR="00D80D26" w:rsidRDefault="00D80D26" w:rsidP="00D80D26">
      <w:pPr>
        <w:pStyle w:val="ListParagraph"/>
        <w:numPr>
          <w:ilvl w:val="0"/>
          <w:numId w:val="27"/>
        </w:numPr>
      </w:pPr>
      <w:r>
        <w:t>Terms of contract can be amended prior to 31 July 2022 end date</w:t>
      </w:r>
      <w:r w:rsidR="0027061D">
        <w:t xml:space="preserve"> to exclude support and maintenance of fixed monitor network</w:t>
      </w:r>
    </w:p>
    <w:p w14:paraId="43F5AC4B" w14:textId="5D590FEF" w:rsidR="003E6831" w:rsidRPr="00D80D26" w:rsidRDefault="002E2903" w:rsidP="00D80D26">
      <w:pPr>
        <w:pStyle w:val="ListParagraph"/>
        <w:numPr>
          <w:ilvl w:val="0"/>
          <w:numId w:val="27"/>
        </w:numPr>
      </w:pPr>
      <w:r>
        <w:t>Decommissioning can be completed prior</w:t>
      </w:r>
      <w:r w:rsidR="004C47CE">
        <w:t xml:space="preserve"> RREMS completion date</w:t>
      </w:r>
    </w:p>
    <w:p w14:paraId="7DF4E322" w14:textId="0A436BD1" w:rsidR="00CB7509" w:rsidRDefault="00CB7509" w:rsidP="005F54EE">
      <w:pPr>
        <w:pStyle w:val="Heading4"/>
      </w:pPr>
      <w:r w:rsidRPr="00CB7509">
        <w:t>Exclusions</w:t>
      </w:r>
    </w:p>
    <w:p w14:paraId="1BB79478" w14:textId="0A6ECD78" w:rsidR="004C47CE" w:rsidRPr="004C47CE" w:rsidRDefault="004C47CE" w:rsidP="004C47CE">
      <w:pPr>
        <w:pStyle w:val="ListParagraph"/>
        <w:numPr>
          <w:ilvl w:val="0"/>
          <w:numId w:val="29"/>
        </w:numPr>
      </w:pPr>
      <w:r>
        <w:t>Decommissioning costs</w:t>
      </w:r>
    </w:p>
    <w:p w14:paraId="578BF376" w14:textId="5453EF68" w:rsidR="00CB7509" w:rsidRDefault="00CB7509" w:rsidP="005F54EE">
      <w:pPr>
        <w:pStyle w:val="Heading4"/>
      </w:pPr>
      <w:r w:rsidRPr="00CB7509">
        <w:t>Risks</w:t>
      </w:r>
    </w:p>
    <w:p w14:paraId="21B19914" w14:textId="4ADBFF44" w:rsidR="004C47CE" w:rsidRPr="004C47CE" w:rsidRDefault="008E0C5F" w:rsidP="004C47CE">
      <w:pPr>
        <w:pStyle w:val="ListParagraph"/>
        <w:numPr>
          <w:ilvl w:val="0"/>
          <w:numId w:val="28"/>
        </w:numPr>
      </w:pPr>
      <w:r>
        <w:t>Significantly</w:t>
      </w:r>
      <w:r w:rsidR="004C47CE">
        <w:t xml:space="preserve"> reduced </w:t>
      </w:r>
      <w:r>
        <w:t>monitoring coverage across the UK</w:t>
      </w:r>
      <w:r w:rsidR="0093106E">
        <w:t xml:space="preserve">. With RIMNET data published quarterly online, BEIS may come under significant pressure from the public </w:t>
      </w:r>
      <w:r w:rsidR="003B7D0C">
        <w:t xml:space="preserve">and NGOs </w:t>
      </w:r>
      <w:r w:rsidR="00E671A3">
        <w:t xml:space="preserve">especially </w:t>
      </w:r>
      <w:r w:rsidR="008E6E5C">
        <w:t xml:space="preserve">when considering </w:t>
      </w:r>
      <w:r w:rsidR="00210B2B">
        <w:t xml:space="preserve">the recent implementation of </w:t>
      </w:r>
      <w:r w:rsidR="004A1870">
        <w:t xml:space="preserve">the new </w:t>
      </w:r>
      <w:r w:rsidR="009A0219">
        <w:t>radiation emergency preparedness regulations (REPPIR19)</w:t>
      </w:r>
      <w:r w:rsidR="00DF32F7">
        <w:t>.</w:t>
      </w:r>
    </w:p>
    <w:p w14:paraId="3A239C46" w14:textId="77777777" w:rsidR="008B39AC" w:rsidRPr="00CB7509" w:rsidRDefault="008B39AC" w:rsidP="002954B4"/>
    <w:p w14:paraId="3268D00A" w14:textId="77777777" w:rsidR="00C4038A" w:rsidRDefault="00C4038A" w:rsidP="002954B4">
      <w:pPr>
        <w:rPr>
          <w:color w:val="004F6D" w:themeColor="accent1" w:themeShade="80"/>
        </w:rPr>
      </w:pPr>
    </w:p>
    <w:p w14:paraId="0D5A4D8E" w14:textId="46C298B2" w:rsidR="005B7229" w:rsidRDefault="00990D12" w:rsidP="005F54EE">
      <w:pPr>
        <w:pStyle w:val="Heading3"/>
      </w:pPr>
      <w:r w:rsidRPr="005B7229">
        <w:t>Option 2</w:t>
      </w:r>
      <w:r w:rsidR="00C4038A">
        <w:t>B</w:t>
      </w:r>
      <w:r w:rsidR="005B7229">
        <w:t xml:space="preserve"> – Replace with R3M (Gamma)</w:t>
      </w:r>
    </w:p>
    <w:p w14:paraId="4E114F1C" w14:textId="754AB5A1" w:rsidR="00B74350" w:rsidRDefault="00C87A7D" w:rsidP="00C87A7D">
      <w:bookmarkStart w:id="18" w:name="_Hlk58230195"/>
      <w:r>
        <w:t xml:space="preserve">Procurement </w:t>
      </w:r>
      <w:r w:rsidR="001E1357">
        <w:t xml:space="preserve">and roll-out of 92 new R3M monitors </w:t>
      </w:r>
      <w:r w:rsidR="005D4A5F">
        <w:t xml:space="preserve">to the </w:t>
      </w:r>
      <w:r w:rsidR="006958B6">
        <w:t>current fixed monitor locations</w:t>
      </w:r>
      <w:r w:rsidR="00D104F5">
        <w:t xml:space="preserve"> </w:t>
      </w:r>
      <w:r w:rsidR="00404A0D">
        <w:t>and</w:t>
      </w:r>
      <w:r w:rsidR="00D104F5">
        <w:t xml:space="preserve"> decommissioning of the fixed monitor </w:t>
      </w:r>
      <w:r w:rsidR="00404A0D">
        <w:t>unit</w:t>
      </w:r>
      <w:r w:rsidR="00D104F5">
        <w:t xml:space="preserve"> and </w:t>
      </w:r>
      <w:r w:rsidR="00404A0D">
        <w:t xml:space="preserve">private data communication network. </w:t>
      </w:r>
      <w:bookmarkEnd w:id="18"/>
    </w:p>
    <w:p w14:paraId="2B8CB6A6" w14:textId="77777777" w:rsidR="00BE4D42" w:rsidRPr="00BE4D42" w:rsidRDefault="00BE4D42" w:rsidP="00BE4D42">
      <w:r w:rsidRPr="00BE4D42">
        <w:t>93 R3Ms: 93 x £5k = £465k</w:t>
      </w:r>
      <w:r w:rsidRPr="00BE4D42">
        <w:rPr>
          <w:rStyle w:val="FootnoteReference"/>
        </w:rPr>
        <w:footnoteReference w:id="4"/>
      </w:r>
    </w:p>
    <w:p w14:paraId="5047B766" w14:textId="77777777" w:rsidR="00BE4D42" w:rsidRPr="00C4038A" w:rsidRDefault="00BE4D42" w:rsidP="00BE4D42">
      <w:pPr>
        <w:rPr>
          <w:highlight w:val="lightGray"/>
        </w:rPr>
      </w:pPr>
      <w:r w:rsidRPr="00C4038A">
        <w:rPr>
          <w:highlight w:val="lightGray"/>
        </w:rPr>
        <w:lastRenderedPageBreak/>
        <w:t>Cost of calibration per monitor (based on 2019 costs) = £1716.65, therefore: 93 x -£1716.65 = £159,648.45</w:t>
      </w:r>
    </w:p>
    <w:p w14:paraId="6A53ADA0" w14:textId="77777777" w:rsidR="00BE4D42" w:rsidRPr="00C4038A" w:rsidRDefault="00BE4D42" w:rsidP="00BE4D42">
      <w:pPr>
        <w:rPr>
          <w:highlight w:val="lightGray"/>
        </w:rPr>
      </w:pPr>
      <w:r w:rsidRPr="00C4038A">
        <w:rPr>
          <w:highlight w:val="lightGray"/>
        </w:rPr>
        <w:t>SIM card costs: 93 x £150/annum = £13.95k/annum</w:t>
      </w:r>
    </w:p>
    <w:p w14:paraId="5C55CD77" w14:textId="77777777" w:rsidR="00404A0D" w:rsidRDefault="00404A0D" w:rsidP="00C87A7D"/>
    <w:p w14:paraId="459F1FC7" w14:textId="77777777" w:rsidR="002E10CF" w:rsidRPr="00175BD8" w:rsidRDefault="002E10CF" w:rsidP="005F54EE">
      <w:pPr>
        <w:pStyle w:val="Heading4"/>
        <w:rPr>
          <w:szCs w:val="24"/>
        </w:rPr>
      </w:pPr>
      <w:r w:rsidRPr="00175BD8">
        <w:rPr>
          <w:szCs w:val="24"/>
        </w:rPr>
        <w:t>Assumptions</w:t>
      </w:r>
    </w:p>
    <w:p w14:paraId="430C5F80" w14:textId="6155CF47" w:rsidR="002E10CF" w:rsidRDefault="002E10CF" w:rsidP="00A0395D">
      <w:pPr>
        <w:pStyle w:val="ListParagraph"/>
        <w:numPr>
          <w:ilvl w:val="0"/>
          <w:numId w:val="19"/>
        </w:numPr>
        <w:spacing w:before="120" w:after="120" w:line="240" w:lineRule="auto"/>
        <w:ind w:left="714" w:hanging="357"/>
        <w:contextualSpacing w:val="0"/>
        <w:rPr>
          <w:szCs w:val="24"/>
        </w:rPr>
      </w:pPr>
      <w:r>
        <w:rPr>
          <w:szCs w:val="24"/>
        </w:rPr>
        <w:t>The roll-out of new</w:t>
      </w:r>
      <w:r w:rsidR="00BF55C2">
        <w:rPr>
          <w:szCs w:val="24"/>
        </w:rPr>
        <w:t xml:space="preserve"> R3M</w:t>
      </w:r>
      <w:r>
        <w:rPr>
          <w:szCs w:val="24"/>
        </w:rPr>
        <w:t xml:space="preserve"> monitors </w:t>
      </w:r>
      <w:r w:rsidR="00BF55C2">
        <w:rPr>
          <w:szCs w:val="24"/>
        </w:rPr>
        <w:t>(9</w:t>
      </w:r>
      <w:r w:rsidR="005F0C89">
        <w:rPr>
          <w:szCs w:val="24"/>
        </w:rPr>
        <w:t>2</w:t>
      </w:r>
      <w:r w:rsidR="00BF55C2">
        <w:rPr>
          <w:szCs w:val="24"/>
        </w:rPr>
        <w:t xml:space="preserve">) </w:t>
      </w:r>
      <w:r>
        <w:rPr>
          <w:szCs w:val="24"/>
        </w:rPr>
        <w:t>w</w:t>
      </w:r>
      <w:r w:rsidR="005F0C89">
        <w:rPr>
          <w:szCs w:val="24"/>
        </w:rPr>
        <w:t>ill</w:t>
      </w:r>
      <w:r>
        <w:rPr>
          <w:szCs w:val="24"/>
        </w:rPr>
        <w:t xml:space="preserve"> take </w:t>
      </w:r>
      <w:r w:rsidR="0018394E">
        <w:rPr>
          <w:szCs w:val="24"/>
        </w:rPr>
        <w:t xml:space="preserve">approximately </w:t>
      </w:r>
      <w:r w:rsidR="00BF55C2">
        <w:rPr>
          <w:szCs w:val="24"/>
        </w:rPr>
        <w:t>18-24 months</w:t>
      </w:r>
      <w:r w:rsidR="005F0C89">
        <w:rPr>
          <w:szCs w:val="24"/>
        </w:rPr>
        <w:t>.</w:t>
      </w:r>
    </w:p>
    <w:p w14:paraId="12B16839" w14:textId="58C3205A" w:rsidR="006D11CA" w:rsidRDefault="006D11CA" w:rsidP="00A0395D">
      <w:pPr>
        <w:pStyle w:val="ListParagraph"/>
        <w:numPr>
          <w:ilvl w:val="0"/>
          <w:numId w:val="19"/>
        </w:numPr>
        <w:spacing w:before="120" w:after="120" w:line="240" w:lineRule="auto"/>
        <w:ind w:left="714" w:hanging="357"/>
        <w:contextualSpacing w:val="0"/>
        <w:rPr>
          <w:szCs w:val="24"/>
        </w:rPr>
      </w:pPr>
      <w:proofErr w:type="spellStart"/>
      <w:r>
        <w:rPr>
          <w:szCs w:val="24"/>
        </w:rPr>
        <w:t xml:space="preserve">Ultra </w:t>
      </w:r>
      <w:r w:rsidR="00963D20">
        <w:rPr>
          <w:szCs w:val="24"/>
        </w:rPr>
        <w:t>Energy</w:t>
      </w:r>
      <w:proofErr w:type="spellEnd"/>
      <w:r w:rsidR="00963D20">
        <w:rPr>
          <w:szCs w:val="24"/>
        </w:rPr>
        <w:t xml:space="preserve"> Ltd</w:t>
      </w:r>
      <w:r>
        <w:rPr>
          <w:szCs w:val="24"/>
        </w:rPr>
        <w:t xml:space="preserve"> will be needed to support the roll-out</w:t>
      </w:r>
      <w:r w:rsidR="00DE41E5">
        <w:rPr>
          <w:szCs w:val="24"/>
        </w:rPr>
        <w:t xml:space="preserve"> -</w:t>
      </w:r>
      <w:r w:rsidR="00963D20">
        <w:rPr>
          <w:szCs w:val="24"/>
        </w:rPr>
        <w:t xml:space="preserve"> Met Office </w:t>
      </w:r>
      <w:r w:rsidR="00F80777">
        <w:rPr>
          <w:szCs w:val="24"/>
        </w:rPr>
        <w:t xml:space="preserve">engineer </w:t>
      </w:r>
      <w:r w:rsidR="00963D20">
        <w:rPr>
          <w:szCs w:val="24"/>
        </w:rPr>
        <w:t xml:space="preserve">resource </w:t>
      </w:r>
      <w:r w:rsidR="00F80777">
        <w:rPr>
          <w:szCs w:val="24"/>
        </w:rPr>
        <w:t xml:space="preserve">cannot be </w:t>
      </w:r>
      <w:r w:rsidR="00034686">
        <w:rPr>
          <w:szCs w:val="24"/>
        </w:rPr>
        <w:t>expanded</w:t>
      </w:r>
      <w:r w:rsidR="00DE41E5">
        <w:rPr>
          <w:szCs w:val="24"/>
        </w:rPr>
        <w:t xml:space="preserve"> to meet </w:t>
      </w:r>
      <w:r w:rsidR="003429C9">
        <w:rPr>
          <w:szCs w:val="24"/>
        </w:rPr>
        <w:t>new</w:t>
      </w:r>
      <w:r w:rsidR="00DE41E5">
        <w:rPr>
          <w:szCs w:val="24"/>
        </w:rPr>
        <w:t xml:space="preserve"> demand.</w:t>
      </w:r>
    </w:p>
    <w:p w14:paraId="50BD018C" w14:textId="5768702B" w:rsidR="00C80471" w:rsidRPr="002E10CF" w:rsidRDefault="004F4E46" w:rsidP="00A0395D">
      <w:pPr>
        <w:pStyle w:val="ListParagraph"/>
        <w:numPr>
          <w:ilvl w:val="0"/>
          <w:numId w:val="19"/>
        </w:numPr>
        <w:spacing w:before="120" w:after="120" w:line="240" w:lineRule="auto"/>
        <w:ind w:left="714" w:hanging="357"/>
        <w:contextualSpacing w:val="0"/>
        <w:rPr>
          <w:szCs w:val="24"/>
        </w:rPr>
      </w:pPr>
      <w:r>
        <w:rPr>
          <w:szCs w:val="24"/>
        </w:rPr>
        <w:t xml:space="preserve">Would be a competition </w:t>
      </w:r>
    </w:p>
    <w:p w14:paraId="1E74EB15" w14:textId="74001AAD" w:rsidR="002E10CF" w:rsidRPr="002E10CF" w:rsidRDefault="002E10CF" w:rsidP="005F54EE">
      <w:pPr>
        <w:pStyle w:val="Heading4"/>
        <w:rPr>
          <w:szCs w:val="24"/>
        </w:rPr>
      </w:pPr>
      <w:r w:rsidRPr="002E10CF">
        <w:rPr>
          <w:szCs w:val="24"/>
        </w:rPr>
        <w:t>Exclusions</w:t>
      </w:r>
    </w:p>
    <w:p w14:paraId="066B472B" w14:textId="370F987C" w:rsidR="002E10CF" w:rsidRDefault="00037908" w:rsidP="00A0395D">
      <w:pPr>
        <w:pStyle w:val="ListParagraph"/>
        <w:numPr>
          <w:ilvl w:val="0"/>
          <w:numId w:val="18"/>
        </w:numPr>
        <w:rPr>
          <w:szCs w:val="24"/>
        </w:rPr>
      </w:pPr>
      <w:r w:rsidRPr="00037908">
        <w:rPr>
          <w:szCs w:val="24"/>
        </w:rPr>
        <w:t>Decommissioning costs for fixed monitors</w:t>
      </w:r>
    </w:p>
    <w:p w14:paraId="6C599A12" w14:textId="2B5912F7" w:rsidR="001C1300" w:rsidRPr="008A4958" w:rsidRDefault="001C1300" w:rsidP="00A0395D">
      <w:pPr>
        <w:pStyle w:val="ListParagraph"/>
        <w:numPr>
          <w:ilvl w:val="0"/>
          <w:numId w:val="18"/>
        </w:numPr>
        <w:rPr>
          <w:szCs w:val="24"/>
        </w:rPr>
      </w:pPr>
      <w:r>
        <w:rPr>
          <w:szCs w:val="24"/>
        </w:rPr>
        <w:t>SLA costs</w:t>
      </w:r>
    </w:p>
    <w:p w14:paraId="5C95FB7C" w14:textId="299A61F9" w:rsidR="002E10CF" w:rsidRDefault="002E10CF" w:rsidP="005F54EE">
      <w:pPr>
        <w:pStyle w:val="Heading4"/>
        <w:rPr>
          <w:szCs w:val="24"/>
        </w:rPr>
      </w:pPr>
      <w:r w:rsidRPr="00175BD8">
        <w:rPr>
          <w:szCs w:val="24"/>
        </w:rPr>
        <w:t>Risks</w:t>
      </w:r>
    </w:p>
    <w:p w14:paraId="79FCE326" w14:textId="1513FF93" w:rsidR="006F788C" w:rsidRDefault="00CF0318" w:rsidP="00A0395D">
      <w:pPr>
        <w:pStyle w:val="ListParagraph"/>
        <w:numPr>
          <w:ilvl w:val="0"/>
          <w:numId w:val="18"/>
        </w:numPr>
        <w:spacing w:before="120" w:after="120" w:line="240" w:lineRule="auto"/>
        <w:ind w:left="714" w:hanging="357"/>
        <w:contextualSpacing w:val="0"/>
        <w:rPr>
          <w:szCs w:val="24"/>
        </w:rPr>
      </w:pPr>
      <w:r>
        <w:rPr>
          <w:szCs w:val="24"/>
        </w:rPr>
        <w:t>Temporary reduction in network coverage</w:t>
      </w:r>
      <w:r w:rsidR="00C91F6C">
        <w:rPr>
          <w:szCs w:val="24"/>
        </w:rPr>
        <w:t xml:space="preserve"> – It is unlikely that all </w:t>
      </w:r>
      <w:r w:rsidR="0060410F">
        <w:rPr>
          <w:szCs w:val="24"/>
        </w:rPr>
        <w:t>fixed monitors could be replaced before RIMNET is decommissioned</w:t>
      </w:r>
      <w:r w:rsidR="008A4958">
        <w:rPr>
          <w:szCs w:val="24"/>
        </w:rPr>
        <w:t xml:space="preserve"> and </w:t>
      </w:r>
      <w:r w:rsidR="000329FF">
        <w:rPr>
          <w:szCs w:val="24"/>
        </w:rPr>
        <w:t xml:space="preserve">existing </w:t>
      </w:r>
      <w:r w:rsidR="008A4958">
        <w:rPr>
          <w:szCs w:val="24"/>
        </w:rPr>
        <w:t xml:space="preserve">‘link’ </w:t>
      </w:r>
      <w:r w:rsidR="000329FF">
        <w:rPr>
          <w:szCs w:val="24"/>
        </w:rPr>
        <w:t>from RREMS to fixed monitors is severed.</w:t>
      </w:r>
    </w:p>
    <w:p w14:paraId="22AD559D" w14:textId="6E8B1657" w:rsidR="001A5FBF" w:rsidRPr="001A5FBF" w:rsidRDefault="00BE3ECC" w:rsidP="00A0395D">
      <w:pPr>
        <w:pStyle w:val="ListParagraph"/>
        <w:numPr>
          <w:ilvl w:val="0"/>
          <w:numId w:val="18"/>
        </w:numPr>
        <w:spacing w:before="120" w:after="120" w:line="240" w:lineRule="auto"/>
        <w:ind w:left="714" w:hanging="357"/>
        <w:contextualSpacing w:val="0"/>
        <w:rPr>
          <w:szCs w:val="24"/>
        </w:rPr>
      </w:pPr>
      <w:r>
        <w:rPr>
          <w:szCs w:val="24"/>
        </w:rPr>
        <w:t>Comms reliability</w:t>
      </w:r>
      <w:r w:rsidR="0060410F">
        <w:rPr>
          <w:szCs w:val="24"/>
        </w:rPr>
        <w:t xml:space="preserve"> </w:t>
      </w:r>
      <w:r w:rsidR="00830729">
        <w:rPr>
          <w:szCs w:val="24"/>
        </w:rPr>
        <w:t>–</w:t>
      </w:r>
      <w:r w:rsidR="0060410F">
        <w:rPr>
          <w:szCs w:val="24"/>
        </w:rPr>
        <w:t xml:space="preserve"> </w:t>
      </w:r>
      <w:r w:rsidR="00C505AE">
        <w:rPr>
          <w:szCs w:val="24"/>
        </w:rPr>
        <w:t xml:space="preserve">If fixed </w:t>
      </w:r>
      <w:r w:rsidR="00830729">
        <w:rPr>
          <w:szCs w:val="24"/>
        </w:rPr>
        <w:t>monitors</w:t>
      </w:r>
      <w:r w:rsidR="00C505AE">
        <w:rPr>
          <w:szCs w:val="24"/>
        </w:rPr>
        <w:t xml:space="preserve"> are replaced, </w:t>
      </w:r>
      <w:r w:rsidR="00EB4DB6">
        <w:rPr>
          <w:szCs w:val="24"/>
        </w:rPr>
        <w:t>the entire UK network</w:t>
      </w:r>
      <w:r w:rsidR="00830729">
        <w:rPr>
          <w:szCs w:val="24"/>
        </w:rPr>
        <w:t xml:space="preserve"> will </w:t>
      </w:r>
      <w:r w:rsidR="00D145E4">
        <w:rPr>
          <w:szCs w:val="24"/>
        </w:rPr>
        <w:t>reliant on</w:t>
      </w:r>
      <w:r w:rsidR="008912EE">
        <w:rPr>
          <w:szCs w:val="24"/>
        </w:rPr>
        <w:t xml:space="preserve"> </w:t>
      </w:r>
      <w:r w:rsidR="00EB4DB6">
        <w:rPr>
          <w:szCs w:val="24"/>
        </w:rPr>
        <w:t xml:space="preserve">wireless </w:t>
      </w:r>
      <w:r w:rsidR="008912EE">
        <w:rPr>
          <w:szCs w:val="24"/>
        </w:rPr>
        <w:t xml:space="preserve">communications. An interruption to </w:t>
      </w:r>
      <w:r w:rsidR="005535D7">
        <w:rPr>
          <w:szCs w:val="24"/>
        </w:rPr>
        <w:t>wireless</w:t>
      </w:r>
      <w:r w:rsidR="00EB4DB6">
        <w:rPr>
          <w:szCs w:val="24"/>
        </w:rPr>
        <w:t xml:space="preserve"> services may result in an outage to all </w:t>
      </w:r>
      <w:r w:rsidR="00FD0BA5">
        <w:rPr>
          <w:szCs w:val="24"/>
        </w:rPr>
        <w:t>UK gamma monitors</w:t>
      </w:r>
      <w:r w:rsidR="002A4177">
        <w:rPr>
          <w:szCs w:val="24"/>
        </w:rPr>
        <w:t xml:space="preserve"> (Ref Will’s report</w:t>
      </w:r>
      <w:r w:rsidR="00FD4F5B">
        <w:rPr>
          <w:szCs w:val="24"/>
        </w:rPr>
        <w:t xml:space="preserve"> here).</w:t>
      </w:r>
    </w:p>
    <w:p w14:paraId="4963502E" w14:textId="00431320" w:rsidR="00990D12" w:rsidRDefault="00990D12" w:rsidP="002954B4"/>
    <w:p w14:paraId="28415984" w14:textId="0CF53B9E" w:rsidR="00902C78" w:rsidRDefault="00902C78" w:rsidP="002954B4"/>
    <w:p w14:paraId="36FCDDE3" w14:textId="6152AFB0" w:rsidR="00902C78" w:rsidRDefault="00902C78" w:rsidP="002954B4"/>
    <w:p w14:paraId="3C2AD82B" w14:textId="77777777" w:rsidR="00902C78" w:rsidRDefault="00902C78" w:rsidP="002954B4"/>
    <w:p w14:paraId="51CF360D" w14:textId="77777777" w:rsidR="002954B4" w:rsidRPr="00C4038A" w:rsidRDefault="002954B4" w:rsidP="002954B4">
      <w:pPr>
        <w:rPr>
          <w:highlight w:val="lightGray"/>
        </w:rPr>
      </w:pPr>
      <w:r w:rsidRPr="00C4038A">
        <w:rPr>
          <w:highlight w:val="lightGray"/>
        </w:rPr>
        <w:t>R3M support and maintenance cost breakdown update for Q3 of 2019-20 (112 monitors):</w:t>
      </w:r>
    </w:p>
    <w:tbl>
      <w:tblPr>
        <w:tblW w:w="0" w:type="auto"/>
        <w:tblInd w:w="108" w:type="dxa"/>
        <w:tblCellMar>
          <w:left w:w="0" w:type="dxa"/>
          <w:right w:w="0" w:type="dxa"/>
        </w:tblCellMar>
        <w:tblLook w:val="04A0" w:firstRow="1" w:lastRow="0" w:firstColumn="1" w:lastColumn="0" w:noHBand="0" w:noVBand="1"/>
      </w:tblPr>
      <w:tblGrid>
        <w:gridCol w:w="3059"/>
        <w:gridCol w:w="1571"/>
        <w:gridCol w:w="4880"/>
      </w:tblGrid>
      <w:tr w:rsidR="002954B4" w:rsidRPr="00C4038A" w14:paraId="36D538E9" w14:textId="77777777" w:rsidTr="009A0219">
        <w:tc>
          <w:tcPr>
            <w:tcW w:w="30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5967CB" w14:textId="77777777" w:rsidR="002954B4" w:rsidRPr="00C4038A" w:rsidRDefault="002954B4" w:rsidP="009A0219">
            <w:pPr>
              <w:rPr>
                <w:b/>
                <w:bCs/>
                <w:sz w:val="22"/>
                <w:highlight w:val="lightGray"/>
              </w:rPr>
            </w:pPr>
            <w:r w:rsidRPr="00C4038A">
              <w:rPr>
                <w:b/>
                <w:bCs/>
                <w:sz w:val="22"/>
                <w:highlight w:val="lightGray"/>
              </w:rPr>
              <w:t>Item</w:t>
            </w:r>
          </w:p>
        </w:tc>
        <w:tc>
          <w:tcPr>
            <w:tcW w:w="15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EF8CC6" w14:textId="77777777" w:rsidR="002954B4" w:rsidRPr="00C4038A" w:rsidRDefault="002954B4" w:rsidP="009A0219">
            <w:pPr>
              <w:rPr>
                <w:b/>
                <w:bCs/>
                <w:sz w:val="22"/>
                <w:highlight w:val="lightGray"/>
              </w:rPr>
            </w:pPr>
            <w:r w:rsidRPr="00C4038A">
              <w:rPr>
                <w:b/>
                <w:bCs/>
                <w:sz w:val="22"/>
                <w:highlight w:val="lightGray"/>
              </w:rPr>
              <w:t>Q3 Update</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DF839FA" w14:textId="77777777" w:rsidR="002954B4" w:rsidRPr="00C4038A" w:rsidRDefault="002954B4" w:rsidP="009A0219">
            <w:pPr>
              <w:rPr>
                <w:b/>
                <w:bCs/>
                <w:sz w:val="22"/>
                <w:highlight w:val="lightGray"/>
              </w:rPr>
            </w:pPr>
            <w:r w:rsidRPr="00C4038A">
              <w:rPr>
                <w:b/>
                <w:bCs/>
                <w:sz w:val="22"/>
                <w:highlight w:val="lightGray"/>
              </w:rPr>
              <w:t>Comments</w:t>
            </w:r>
          </w:p>
        </w:tc>
      </w:tr>
      <w:tr w:rsidR="002954B4" w:rsidRPr="00C4038A" w14:paraId="3430AD44" w14:textId="77777777" w:rsidTr="009A0219">
        <w:tc>
          <w:tcPr>
            <w:tcW w:w="30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F51DAF" w14:textId="77777777" w:rsidR="002954B4" w:rsidRPr="00C4038A" w:rsidRDefault="002954B4" w:rsidP="009A0219">
            <w:pPr>
              <w:rPr>
                <w:sz w:val="22"/>
                <w:highlight w:val="lightGray"/>
              </w:rPr>
            </w:pPr>
            <w:r w:rsidRPr="00C4038A">
              <w:rPr>
                <w:sz w:val="22"/>
                <w:highlight w:val="lightGray"/>
              </w:rPr>
              <w:t>Site License / Agreements</w:t>
            </w:r>
          </w:p>
        </w:tc>
        <w:tc>
          <w:tcPr>
            <w:tcW w:w="1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8090A6" w14:textId="77777777" w:rsidR="002954B4" w:rsidRPr="00C4038A" w:rsidRDefault="002954B4" w:rsidP="009A0219">
            <w:pPr>
              <w:rPr>
                <w:sz w:val="22"/>
                <w:highlight w:val="lightGray"/>
              </w:rPr>
            </w:pPr>
            <w:r w:rsidRPr="00C4038A">
              <w:rPr>
                <w:sz w:val="22"/>
                <w:highlight w:val="lightGray"/>
              </w:rPr>
              <w:t>£0</w:t>
            </w:r>
          </w:p>
        </w:tc>
        <w:tc>
          <w:tcPr>
            <w:tcW w:w="49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3A147C" w14:textId="77777777" w:rsidR="002954B4" w:rsidRPr="00C4038A" w:rsidRDefault="002954B4" w:rsidP="009A0219">
            <w:pPr>
              <w:rPr>
                <w:sz w:val="22"/>
                <w:highlight w:val="lightGray"/>
              </w:rPr>
            </w:pPr>
          </w:p>
        </w:tc>
      </w:tr>
      <w:tr w:rsidR="002954B4" w:rsidRPr="00C4038A" w14:paraId="78D09658" w14:textId="77777777" w:rsidTr="009A0219">
        <w:tc>
          <w:tcPr>
            <w:tcW w:w="30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73E9D6" w14:textId="77777777" w:rsidR="002954B4" w:rsidRPr="00C4038A" w:rsidRDefault="002954B4" w:rsidP="009A0219">
            <w:pPr>
              <w:rPr>
                <w:sz w:val="22"/>
                <w:highlight w:val="lightGray"/>
              </w:rPr>
            </w:pPr>
            <w:r w:rsidRPr="00C4038A">
              <w:rPr>
                <w:sz w:val="22"/>
                <w:highlight w:val="lightGray"/>
              </w:rPr>
              <w:t>Rent / Electricity supply</w:t>
            </w:r>
          </w:p>
        </w:tc>
        <w:tc>
          <w:tcPr>
            <w:tcW w:w="1581" w:type="dxa"/>
            <w:tcBorders>
              <w:top w:val="nil"/>
              <w:left w:val="nil"/>
              <w:bottom w:val="single" w:sz="8" w:space="0" w:color="auto"/>
              <w:right w:val="single" w:sz="8" w:space="0" w:color="auto"/>
            </w:tcBorders>
            <w:tcMar>
              <w:top w:w="0" w:type="dxa"/>
              <w:left w:w="108" w:type="dxa"/>
              <w:bottom w:w="0" w:type="dxa"/>
              <w:right w:w="108" w:type="dxa"/>
            </w:tcMar>
            <w:hideMark/>
          </w:tcPr>
          <w:p w14:paraId="5BDE924E" w14:textId="77777777" w:rsidR="002954B4" w:rsidRPr="00C4038A" w:rsidRDefault="002954B4" w:rsidP="009A0219">
            <w:pPr>
              <w:rPr>
                <w:sz w:val="22"/>
                <w:highlight w:val="lightGray"/>
              </w:rPr>
            </w:pPr>
            <w:r w:rsidRPr="00C4038A">
              <w:rPr>
                <w:sz w:val="22"/>
                <w:highlight w:val="lightGray"/>
              </w:rPr>
              <w:t>£29,000</w:t>
            </w:r>
          </w:p>
        </w:tc>
        <w:tc>
          <w:tcPr>
            <w:tcW w:w="49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9F92D5" w14:textId="77777777" w:rsidR="002954B4" w:rsidRPr="00C4038A" w:rsidRDefault="002954B4" w:rsidP="009A0219">
            <w:pPr>
              <w:rPr>
                <w:sz w:val="22"/>
                <w:highlight w:val="lightGray"/>
              </w:rPr>
            </w:pPr>
          </w:p>
        </w:tc>
      </w:tr>
      <w:tr w:rsidR="002954B4" w:rsidRPr="00C4038A" w14:paraId="5097C41C" w14:textId="77777777" w:rsidTr="009A0219">
        <w:trPr>
          <w:trHeight w:val="688"/>
        </w:trPr>
        <w:tc>
          <w:tcPr>
            <w:tcW w:w="30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24AB2C" w14:textId="77777777" w:rsidR="002954B4" w:rsidRPr="00C4038A" w:rsidRDefault="002954B4" w:rsidP="009A0219">
            <w:pPr>
              <w:rPr>
                <w:sz w:val="22"/>
                <w:highlight w:val="lightGray"/>
              </w:rPr>
            </w:pPr>
            <w:r w:rsidRPr="00C4038A">
              <w:rPr>
                <w:sz w:val="22"/>
                <w:highlight w:val="lightGray"/>
              </w:rPr>
              <w:t>Comms</w:t>
            </w:r>
          </w:p>
        </w:tc>
        <w:tc>
          <w:tcPr>
            <w:tcW w:w="1581" w:type="dxa"/>
            <w:tcBorders>
              <w:top w:val="nil"/>
              <w:left w:val="nil"/>
              <w:bottom w:val="single" w:sz="8" w:space="0" w:color="auto"/>
              <w:right w:val="single" w:sz="8" w:space="0" w:color="auto"/>
            </w:tcBorders>
            <w:tcMar>
              <w:top w:w="0" w:type="dxa"/>
              <w:left w:w="108" w:type="dxa"/>
              <w:bottom w:w="0" w:type="dxa"/>
              <w:right w:w="108" w:type="dxa"/>
            </w:tcMar>
            <w:hideMark/>
          </w:tcPr>
          <w:p w14:paraId="1AC7A4E8" w14:textId="77777777" w:rsidR="002954B4" w:rsidRPr="00C4038A" w:rsidRDefault="002954B4" w:rsidP="009A0219">
            <w:pPr>
              <w:rPr>
                <w:sz w:val="22"/>
                <w:highlight w:val="lightGray"/>
              </w:rPr>
            </w:pPr>
            <w:r w:rsidRPr="00C4038A">
              <w:rPr>
                <w:sz w:val="22"/>
                <w:highlight w:val="lightGray"/>
              </w:rPr>
              <w:t xml:space="preserve">£36,618 </w:t>
            </w:r>
          </w:p>
        </w:tc>
        <w:tc>
          <w:tcPr>
            <w:tcW w:w="4961" w:type="dxa"/>
            <w:tcBorders>
              <w:top w:val="nil"/>
              <w:left w:val="nil"/>
              <w:bottom w:val="single" w:sz="8" w:space="0" w:color="auto"/>
              <w:right w:val="single" w:sz="8" w:space="0" w:color="auto"/>
            </w:tcBorders>
            <w:tcMar>
              <w:top w:w="0" w:type="dxa"/>
              <w:left w:w="108" w:type="dxa"/>
              <w:bottom w:w="0" w:type="dxa"/>
              <w:right w:w="108" w:type="dxa"/>
            </w:tcMar>
          </w:tcPr>
          <w:p w14:paraId="780E1DBD" w14:textId="77777777" w:rsidR="002954B4" w:rsidRPr="00C4038A" w:rsidRDefault="002954B4" w:rsidP="009A0219">
            <w:pPr>
              <w:rPr>
                <w:sz w:val="22"/>
                <w:highlight w:val="lightGray"/>
              </w:rPr>
            </w:pPr>
            <w:r w:rsidRPr="00C4038A">
              <w:rPr>
                <w:sz w:val="22"/>
                <w:highlight w:val="lightGray"/>
              </w:rPr>
              <w:t xml:space="preserve">SIM cards – £31,018; SMTP - £5,600 </w:t>
            </w:r>
          </w:p>
        </w:tc>
      </w:tr>
      <w:tr w:rsidR="002954B4" w:rsidRPr="00C4038A" w14:paraId="7952A98E" w14:textId="77777777" w:rsidTr="009A0219">
        <w:trPr>
          <w:trHeight w:val="688"/>
        </w:trPr>
        <w:tc>
          <w:tcPr>
            <w:tcW w:w="309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4B481A" w14:textId="77777777" w:rsidR="002954B4" w:rsidRPr="00C4038A" w:rsidRDefault="002954B4" w:rsidP="009A0219">
            <w:pPr>
              <w:rPr>
                <w:sz w:val="22"/>
                <w:highlight w:val="lightGray"/>
              </w:rPr>
            </w:pPr>
            <w:r w:rsidRPr="00C4038A">
              <w:rPr>
                <w:sz w:val="22"/>
                <w:highlight w:val="lightGray"/>
              </w:rPr>
              <w:lastRenderedPageBreak/>
              <w:t>Maintenance &amp; Calibration</w:t>
            </w:r>
          </w:p>
        </w:tc>
        <w:tc>
          <w:tcPr>
            <w:tcW w:w="1581" w:type="dxa"/>
            <w:tcBorders>
              <w:top w:val="nil"/>
              <w:left w:val="nil"/>
              <w:bottom w:val="single" w:sz="8" w:space="0" w:color="auto"/>
              <w:right w:val="single" w:sz="8" w:space="0" w:color="auto"/>
            </w:tcBorders>
            <w:tcMar>
              <w:top w:w="0" w:type="dxa"/>
              <w:left w:w="108" w:type="dxa"/>
              <w:bottom w:w="0" w:type="dxa"/>
              <w:right w:w="108" w:type="dxa"/>
            </w:tcMar>
          </w:tcPr>
          <w:p w14:paraId="0819F6CC" w14:textId="77777777" w:rsidR="002954B4" w:rsidRPr="00C4038A" w:rsidRDefault="002954B4" w:rsidP="009A0219">
            <w:pPr>
              <w:rPr>
                <w:sz w:val="22"/>
                <w:highlight w:val="lightGray"/>
              </w:rPr>
            </w:pPr>
            <w:r w:rsidRPr="00C4038A">
              <w:rPr>
                <w:sz w:val="22"/>
                <w:highlight w:val="lightGray"/>
              </w:rPr>
              <w:t>£86,000</w:t>
            </w:r>
          </w:p>
        </w:tc>
        <w:tc>
          <w:tcPr>
            <w:tcW w:w="4961" w:type="dxa"/>
            <w:tcBorders>
              <w:top w:val="nil"/>
              <w:left w:val="nil"/>
              <w:bottom w:val="single" w:sz="8" w:space="0" w:color="auto"/>
              <w:right w:val="single" w:sz="8" w:space="0" w:color="auto"/>
            </w:tcBorders>
            <w:tcMar>
              <w:top w:w="0" w:type="dxa"/>
              <w:left w:w="108" w:type="dxa"/>
              <w:bottom w:w="0" w:type="dxa"/>
              <w:right w:w="108" w:type="dxa"/>
            </w:tcMar>
            <w:vAlign w:val="center"/>
          </w:tcPr>
          <w:p w14:paraId="671DB26B" w14:textId="77777777" w:rsidR="002954B4" w:rsidRPr="00C4038A" w:rsidRDefault="002954B4" w:rsidP="009A0219">
            <w:pPr>
              <w:rPr>
                <w:sz w:val="22"/>
                <w:highlight w:val="lightGray"/>
              </w:rPr>
            </w:pPr>
            <w:r w:rsidRPr="00C4038A">
              <w:rPr>
                <w:sz w:val="22"/>
                <w:highlight w:val="lightGray"/>
              </w:rPr>
              <w:t>£50k – calibration of ~30 monitors; £36k – engineers time &amp; materials for maintenance &amp; swap-outs</w:t>
            </w:r>
          </w:p>
        </w:tc>
      </w:tr>
      <w:tr w:rsidR="002954B4" w:rsidRPr="00C4038A" w14:paraId="4B43982F" w14:textId="77777777" w:rsidTr="009A0219">
        <w:trPr>
          <w:trHeight w:val="704"/>
        </w:trPr>
        <w:tc>
          <w:tcPr>
            <w:tcW w:w="30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3FA1FF" w14:textId="77777777" w:rsidR="002954B4" w:rsidRPr="00C4038A" w:rsidRDefault="002954B4" w:rsidP="009A0219">
            <w:pPr>
              <w:rPr>
                <w:b/>
                <w:bCs/>
                <w:sz w:val="22"/>
                <w:highlight w:val="lightGray"/>
              </w:rPr>
            </w:pPr>
            <w:r w:rsidRPr="00C4038A">
              <w:rPr>
                <w:b/>
                <w:bCs/>
                <w:sz w:val="22"/>
                <w:highlight w:val="lightGray"/>
              </w:rPr>
              <w:t>Total</w:t>
            </w:r>
          </w:p>
        </w:tc>
        <w:tc>
          <w:tcPr>
            <w:tcW w:w="1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36A5C0" w14:textId="77777777" w:rsidR="002954B4" w:rsidRPr="00C4038A" w:rsidRDefault="002954B4" w:rsidP="009A0219">
            <w:pPr>
              <w:rPr>
                <w:b/>
                <w:bCs/>
                <w:sz w:val="22"/>
                <w:highlight w:val="lightGray"/>
              </w:rPr>
            </w:pPr>
            <w:r w:rsidRPr="00C4038A">
              <w:rPr>
                <w:b/>
                <w:bCs/>
                <w:sz w:val="22"/>
                <w:highlight w:val="lightGray"/>
              </w:rPr>
              <w:t>£151,618</w:t>
            </w:r>
          </w:p>
        </w:tc>
        <w:tc>
          <w:tcPr>
            <w:tcW w:w="4961" w:type="dxa"/>
            <w:tcBorders>
              <w:top w:val="nil"/>
              <w:left w:val="nil"/>
              <w:bottom w:val="single" w:sz="8" w:space="0" w:color="auto"/>
              <w:right w:val="single" w:sz="8" w:space="0" w:color="auto"/>
            </w:tcBorders>
            <w:tcMar>
              <w:top w:w="0" w:type="dxa"/>
              <w:left w:w="108" w:type="dxa"/>
              <w:bottom w:w="0" w:type="dxa"/>
              <w:right w:w="108" w:type="dxa"/>
            </w:tcMar>
            <w:vAlign w:val="center"/>
          </w:tcPr>
          <w:p w14:paraId="2A81A92B" w14:textId="77777777" w:rsidR="002954B4" w:rsidRPr="00C4038A" w:rsidRDefault="002954B4" w:rsidP="009A0219">
            <w:pPr>
              <w:rPr>
                <w:sz w:val="22"/>
                <w:highlight w:val="lightGray"/>
              </w:rPr>
            </w:pPr>
          </w:p>
        </w:tc>
      </w:tr>
    </w:tbl>
    <w:p w14:paraId="7B321A70" w14:textId="77777777" w:rsidR="002954B4" w:rsidRPr="00C4038A" w:rsidRDefault="002954B4" w:rsidP="002954B4">
      <w:pPr>
        <w:pStyle w:val="Caption"/>
        <w:rPr>
          <w:highlight w:val="lightGray"/>
        </w:rPr>
      </w:pPr>
      <w:r w:rsidRPr="00C4038A">
        <w:rPr>
          <w:highlight w:val="lightGray"/>
        </w:rPr>
        <w:t xml:space="preserve">Table </w:t>
      </w:r>
      <w:r w:rsidRPr="00C4038A">
        <w:rPr>
          <w:color w:val="2B579A"/>
          <w:highlight w:val="lightGray"/>
          <w:shd w:val="clear" w:color="auto" w:fill="E6E6E6"/>
        </w:rPr>
        <w:fldChar w:fldCharType="begin"/>
      </w:r>
      <w:r w:rsidRPr="00C4038A">
        <w:rPr>
          <w:highlight w:val="lightGray"/>
        </w:rPr>
        <w:instrText>SEQ Table \* ARABIC</w:instrText>
      </w:r>
      <w:r w:rsidRPr="00C4038A">
        <w:rPr>
          <w:color w:val="2B579A"/>
          <w:highlight w:val="lightGray"/>
          <w:shd w:val="clear" w:color="auto" w:fill="E6E6E6"/>
        </w:rPr>
        <w:fldChar w:fldCharType="separate"/>
      </w:r>
      <w:r w:rsidRPr="00C4038A">
        <w:rPr>
          <w:noProof/>
          <w:highlight w:val="lightGray"/>
        </w:rPr>
        <w:t>7</w:t>
      </w:r>
      <w:r w:rsidRPr="00C4038A">
        <w:rPr>
          <w:color w:val="2B579A"/>
          <w:highlight w:val="lightGray"/>
          <w:shd w:val="clear" w:color="auto" w:fill="E6E6E6"/>
        </w:rPr>
        <w:fldChar w:fldCharType="end"/>
      </w:r>
      <w:r w:rsidRPr="00C4038A">
        <w:rPr>
          <w:highlight w:val="lightGray"/>
        </w:rPr>
        <w:t xml:space="preserve"> – R3M support and maintenance cost breakdown for 2019-20 (112 monitors)</w:t>
      </w:r>
    </w:p>
    <w:p w14:paraId="4C2D32F2" w14:textId="77777777" w:rsidR="002954B4" w:rsidRPr="00C4038A" w:rsidRDefault="002954B4" w:rsidP="002954B4">
      <w:pPr>
        <w:pStyle w:val="NotesExample"/>
        <w:rPr>
          <w:b w:val="0"/>
          <w:bCs/>
          <w:highlight w:val="lightGray"/>
        </w:rPr>
      </w:pPr>
      <w:r w:rsidRPr="00C4038A">
        <w:rPr>
          <w:b w:val="0"/>
          <w:bCs/>
          <w:highlight w:val="lightGray"/>
        </w:rPr>
        <w:t>The annual support and maintenance fee for the fixed network in 2018-19 was £855k. This included:</w:t>
      </w:r>
    </w:p>
    <w:p w14:paraId="7D085C48" w14:textId="77777777" w:rsidR="002954B4" w:rsidRPr="00C4038A" w:rsidRDefault="002954B4" w:rsidP="00A0395D">
      <w:pPr>
        <w:pStyle w:val="ListParagraph"/>
        <w:numPr>
          <w:ilvl w:val="0"/>
          <w:numId w:val="13"/>
        </w:numPr>
        <w:rPr>
          <w:highlight w:val="lightGray"/>
        </w:rPr>
      </w:pPr>
      <w:r w:rsidRPr="00C4038A">
        <w:rPr>
          <w:highlight w:val="lightGray"/>
        </w:rPr>
        <w:t>Annual probe calibrations and monitor repairs</w:t>
      </w:r>
    </w:p>
    <w:p w14:paraId="44C9255A" w14:textId="77777777" w:rsidR="002954B4" w:rsidRPr="00C4038A" w:rsidRDefault="002954B4" w:rsidP="00A0395D">
      <w:pPr>
        <w:pStyle w:val="ListParagraph"/>
        <w:numPr>
          <w:ilvl w:val="0"/>
          <w:numId w:val="13"/>
        </w:numPr>
        <w:rPr>
          <w:highlight w:val="lightGray"/>
        </w:rPr>
      </w:pPr>
      <w:r w:rsidRPr="00C4038A">
        <w:rPr>
          <w:highlight w:val="lightGray"/>
        </w:rPr>
        <w:t xml:space="preserve">Pro-active BT </w:t>
      </w:r>
      <w:proofErr w:type="spellStart"/>
      <w:r w:rsidRPr="00C4038A">
        <w:rPr>
          <w:highlight w:val="lightGray"/>
        </w:rPr>
        <w:t>Cardway</w:t>
      </w:r>
      <w:proofErr w:type="spellEnd"/>
      <w:r w:rsidRPr="00C4038A">
        <w:rPr>
          <w:highlight w:val="lightGray"/>
        </w:rPr>
        <w:t xml:space="preserve"> Network Monitoring</w:t>
      </w:r>
    </w:p>
    <w:p w14:paraId="73AAB673" w14:textId="77777777" w:rsidR="002954B4" w:rsidRPr="00C4038A" w:rsidRDefault="002954B4" w:rsidP="00A0395D">
      <w:pPr>
        <w:pStyle w:val="ListParagraph"/>
        <w:numPr>
          <w:ilvl w:val="0"/>
          <w:numId w:val="13"/>
        </w:numPr>
        <w:rPr>
          <w:highlight w:val="lightGray"/>
        </w:rPr>
      </w:pPr>
      <w:r w:rsidRPr="00C4038A">
        <w:rPr>
          <w:highlight w:val="lightGray"/>
        </w:rPr>
        <w:t>Help Desk (normal working hours)</w:t>
      </w:r>
    </w:p>
    <w:p w14:paraId="772641ED" w14:textId="77777777" w:rsidR="002954B4" w:rsidRPr="00C4038A" w:rsidRDefault="002954B4" w:rsidP="00A0395D">
      <w:pPr>
        <w:pStyle w:val="ListParagraph"/>
        <w:numPr>
          <w:ilvl w:val="0"/>
          <w:numId w:val="13"/>
        </w:numPr>
        <w:rPr>
          <w:highlight w:val="lightGray"/>
        </w:rPr>
      </w:pPr>
      <w:r w:rsidRPr="00C4038A">
        <w:rPr>
          <w:highlight w:val="lightGray"/>
        </w:rPr>
        <w:t>Fault Reporting - 24-hours / 7-days a week</w:t>
      </w:r>
    </w:p>
    <w:p w14:paraId="11BC0D86" w14:textId="77777777" w:rsidR="002954B4" w:rsidRPr="00C4038A" w:rsidRDefault="002954B4" w:rsidP="00A0395D">
      <w:pPr>
        <w:pStyle w:val="ListParagraph"/>
        <w:numPr>
          <w:ilvl w:val="0"/>
          <w:numId w:val="13"/>
        </w:numPr>
        <w:rPr>
          <w:highlight w:val="lightGray"/>
        </w:rPr>
      </w:pPr>
      <w:r w:rsidRPr="00C4038A">
        <w:rPr>
          <w:highlight w:val="lightGray"/>
        </w:rPr>
        <w:t>Response for most sites (UK Mainland) 24-hours / 7-days a week), dependant on site access, ferry's and flights (where applicable)</w:t>
      </w:r>
    </w:p>
    <w:p w14:paraId="765F7ADC" w14:textId="77777777" w:rsidR="002954B4" w:rsidRPr="00C4038A" w:rsidRDefault="002954B4" w:rsidP="00A0395D">
      <w:pPr>
        <w:pStyle w:val="ListParagraph"/>
        <w:numPr>
          <w:ilvl w:val="0"/>
          <w:numId w:val="13"/>
        </w:numPr>
        <w:rPr>
          <w:highlight w:val="lightGray"/>
        </w:rPr>
      </w:pPr>
      <w:r w:rsidRPr="00C4038A">
        <w:rPr>
          <w:highlight w:val="lightGray"/>
        </w:rPr>
        <w:t>Monthly Services Reviews and Reporting</w:t>
      </w:r>
    </w:p>
    <w:p w14:paraId="47F93811" w14:textId="77777777" w:rsidR="002954B4" w:rsidRPr="00C4038A" w:rsidRDefault="002954B4" w:rsidP="002954B4">
      <w:pPr>
        <w:rPr>
          <w:highlight w:val="lightGray"/>
        </w:rPr>
      </w:pPr>
      <w:r w:rsidRPr="00C4038A">
        <w:rPr>
          <w:highlight w:val="lightGray"/>
        </w:rPr>
        <w:t xml:space="preserve">The annual fee is split approximately three ways (£285k) between: BT </w:t>
      </w:r>
      <w:proofErr w:type="spellStart"/>
      <w:r w:rsidRPr="00C4038A">
        <w:rPr>
          <w:highlight w:val="lightGray"/>
        </w:rPr>
        <w:t>Cardway</w:t>
      </w:r>
      <w:proofErr w:type="spellEnd"/>
      <w:r w:rsidRPr="00C4038A">
        <w:rPr>
          <w:highlight w:val="lightGray"/>
        </w:rPr>
        <w:t xml:space="preserve"> network monitoring, repairs/maintenance/calibration, and engineers.</w:t>
      </w:r>
    </w:p>
    <w:p w14:paraId="3EE8BE9D" w14:textId="77777777" w:rsidR="002954B4" w:rsidRPr="00C4038A" w:rsidRDefault="002954B4" w:rsidP="002954B4">
      <w:pPr>
        <w:pStyle w:val="NotesExample"/>
        <w:rPr>
          <w:b w:val="0"/>
          <w:bCs/>
          <w:highlight w:val="lightGray"/>
        </w:rPr>
      </w:pPr>
      <w:r w:rsidRPr="00C4038A">
        <w:rPr>
          <w:b w:val="0"/>
          <w:bCs/>
          <w:highlight w:val="lightGray"/>
        </w:rPr>
        <w:t>If we take the annual repair/maintenance/calibration fee and subtract this by the annual calibration fee for 93 new R3M units to obtain an estimate for a revised annual repair/maintenance fee: £285k – £159.65k = £125.35k</w:t>
      </w:r>
    </w:p>
    <w:p w14:paraId="01E57018" w14:textId="77777777" w:rsidR="002954B4" w:rsidRPr="00C4038A" w:rsidRDefault="002954B4" w:rsidP="002954B4">
      <w:pPr>
        <w:pStyle w:val="NotesExample"/>
        <w:rPr>
          <w:b w:val="0"/>
          <w:bCs/>
          <w:highlight w:val="lightGray"/>
        </w:rPr>
      </w:pPr>
      <w:r w:rsidRPr="00C4038A">
        <w:rPr>
          <w:b w:val="0"/>
          <w:bCs/>
          <w:highlight w:val="lightGray"/>
        </w:rPr>
        <w:t>Therefore: total Y1 costs for R3M replacement = £465k + £159.65k + £13.95k + £125.35k = £763.95k</w:t>
      </w:r>
      <w:r w:rsidRPr="00C4038A">
        <w:rPr>
          <w:rStyle w:val="FootnoteReference"/>
          <w:b w:val="0"/>
          <w:bCs/>
          <w:highlight w:val="lightGray"/>
        </w:rPr>
        <w:footnoteReference w:id="5"/>
      </w:r>
    </w:p>
    <w:p w14:paraId="5A0A0123" w14:textId="77777777" w:rsidR="002954B4" w:rsidRPr="00C4038A" w:rsidRDefault="002954B4" w:rsidP="002954B4">
      <w:pPr>
        <w:rPr>
          <w:highlight w:val="lightGray"/>
        </w:rPr>
      </w:pPr>
      <w:r w:rsidRPr="00C4038A">
        <w:rPr>
          <w:highlight w:val="lightGray"/>
        </w:rPr>
        <w:t>Assumptions:</w:t>
      </w:r>
    </w:p>
    <w:p w14:paraId="4CDA934D" w14:textId="77777777" w:rsidR="002954B4" w:rsidRPr="00C4038A" w:rsidRDefault="002954B4" w:rsidP="00A0395D">
      <w:pPr>
        <w:pStyle w:val="ListParagraph"/>
        <w:numPr>
          <w:ilvl w:val="0"/>
          <w:numId w:val="14"/>
        </w:numPr>
        <w:rPr>
          <w:highlight w:val="lightGray"/>
        </w:rPr>
      </w:pPr>
      <w:r w:rsidRPr="00C4038A">
        <w:rPr>
          <w:bCs/>
          <w:highlight w:val="lightGray"/>
        </w:rPr>
        <w:t>Site licences/agreements: Given that most fixed monitors are stationed at Met Office sites, this is not currently charged to BEIS as part of the existing agreement with the Met Office.</w:t>
      </w:r>
    </w:p>
    <w:p w14:paraId="7851DDEA" w14:textId="77777777" w:rsidR="002954B4" w:rsidRPr="00C4038A" w:rsidRDefault="002954B4" w:rsidP="00A0395D">
      <w:pPr>
        <w:pStyle w:val="ListParagraph"/>
        <w:numPr>
          <w:ilvl w:val="0"/>
          <w:numId w:val="14"/>
        </w:numPr>
        <w:rPr>
          <w:highlight w:val="lightGray"/>
        </w:rPr>
      </w:pPr>
      <w:r w:rsidRPr="00C4038A">
        <w:rPr>
          <w:bCs/>
          <w:highlight w:val="lightGray"/>
        </w:rPr>
        <w:t xml:space="preserve">Rent/electricity supply: No charge to BEIS for the same reason given above. </w:t>
      </w:r>
    </w:p>
    <w:p w14:paraId="77BB5E41" w14:textId="77777777" w:rsidR="002954B4" w:rsidRPr="00C4038A" w:rsidRDefault="002954B4" w:rsidP="00A0395D">
      <w:pPr>
        <w:pStyle w:val="ListParagraph"/>
        <w:numPr>
          <w:ilvl w:val="0"/>
          <w:numId w:val="14"/>
        </w:numPr>
        <w:rPr>
          <w:highlight w:val="lightGray"/>
        </w:rPr>
      </w:pPr>
      <w:r w:rsidRPr="00C4038A">
        <w:rPr>
          <w:bCs/>
          <w:highlight w:val="lightGray"/>
        </w:rPr>
        <w:t xml:space="preserve">Existing Service Level Agreement for monitor repairs maintained for these sites </w:t>
      </w:r>
    </w:p>
    <w:p w14:paraId="6A1BD461" w14:textId="77777777" w:rsidR="002954B4" w:rsidRPr="00C4038A" w:rsidRDefault="002954B4" w:rsidP="002954B4">
      <w:pPr>
        <w:rPr>
          <w:highlight w:val="lightGray"/>
        </w:rPr>
      </w:pPr>
      <w:r w:rsidRPr="00C4038A">
        <w:rPr>
          <w:highlight w:val="lightGray"/>
        </w:rPr>
        <w:t>Exclusions:</w:t>
      </w:r>
    </w:p>
    <w:p w14:paraId="48AF7550" w14:textId="77777777" w:rsidR="002954B4" w:rsidRPr="00C4038A" w:rsidRDefault="002954B4" w:rsidP="00A0395D">
      <w:pPr>
        <w:pStyle w:val="ListParagraph"/>
        <w:numPr>
          <w:ilvl w:val="0"/>
          <w:numId w:val="14"/>
        </w:numPr>
        <w:rPr>
          <w:highlight w:val="lightGray"/>
        </w:rPr>
      </w:pPr>
      <w:bookmarkStart w:id="19" w:name="_Hlk58228652"/>
      <w:r w:rsidRPr="00C4038A">
        <w:rPr>
          <w:bCs/>
          <w:highlight w:val="lightGray"/>
        </w:rPr>
        <w:t xml:space="preserve">Future cost for two-year contract to maintain interface between RREMS and fixed monitor network (approximately £30k/annum) </w:t>
      </w:r>
    </w:p>
    <w:p w14:paraId="0E34635E" w14:textId="77777777" w:rsidR="002954B4" w:rsidRPr="00C4038A" w:rsidRDefault="002954B4" w:rsidP="00A0395D">
      <w:pPr>
        <w:pStyle w:val="ListParagraph"/>
        <w:numPr>
          <w:ilvl w:val="0"/>
          <w:numId w:val="14"/>
        </w:numPr>
        <w:rPr>
          <w:highlight w:val="lightGray"/>
        </w:rPr>
      </w:pPr>
      <w:r w:rsidRPr="00C4038A">
        <w:rPr>
          <w:bCs/>
          <w:highlight w:val="lightGray"/>
        </w:rPr>
        <w:t>Decommissioning costs for fixed monitors</w:t>
      </w:r>
    </w:p>
    <w:bookmarkEnd w:id="19"/>
    <w:p w14:paraId="0AD4D6CE" w14:textId="77777777" w:rsidR="002954B4" w:rsidRPr="00B3542F" w:rsidRDefault="002954B4" w:rsidP="002954B4">
      <w:r w:rsidRPr="00C4038A">
        <w:rPr>
          <w:highlight w:val="lightGray"/>
        </w:rPr>
        <w:lastRenderedPageBreak/>
        <w:t>This option provides a cost saving of ~£91k in Y1. However, this will increase once the calibration schedule is revised and once RREMS becomes operational (as the application-monitor network interface is operated and maintained by a chosen supplier).</w:t>
      </w:r>
    </w:p>
    <w:p w14:paraId="38A71D25" w14:textId="77777777" w:rsidR="00037908" w:rsidRDefault="00037908" w:rsidP="00902C78">
      <w:pPr>
        <w:pStyle w:val="Heading3"/>
        <w:rPr>
          <w:b w:val="0"/>
          <w:bCs/>
          <w:color w:val="004F6D" w:themeColor="accent1" w:themeShade="80"/>
        </w:rPr>
      </w:pPr>
    </w:p>
    <w:p w14:paraId="0698D25B" w14:textId="7BDD466C" w:rsidR="009F5565" w:rsidRPr="00902C78" w:rsidRDefault="00902C78" w:rsidP="00902C78">
      <w:pPr>
        <w:pStyle w:val="Heading3"/>
        <w:rPr>
          <w:rFonts w:eastAsiaTheme="minorHAnsi" w:cstheme="minorBidi"/>
          <w:b w:val="0"/>
          <w:bCs/>
          <w:color w:val="004F6D" w:themeColor="accent1" w:themeShade="80"/>
        </w:rPr>
      </w:pPr>
      <w:bookmarkStart w:id="20" w:name="_Toc58423959"/>
      <w:r w:rsidRPr="00902C78">
        <w:rPr>
          <w:b w:val="0"/>
          <w:bCs/>
          <w:color w:val="004F6D" w:themeColor="accent1" w:themeShade="80"/>
        </w:rPr>
        <w:t>Option 2</w:t>
      </w:r>
      <w:r w:rsidR="00C4038A">
        <w:rPr>
          <w:b w:val="0"/>
          <w:bCs/>
          <w:color w:val="004F6D" w:themeColor="accent1" w:themeShade="80"/>
        </w:rPr>
        <w:t>C</w:t>
      </w:r>
      <w:r w:rsidRPr="00902C78">
        <w:rPr>
          <w:b w:val="0"/>
          <w:bCs/>
          <w:color w:val="004F6D" w:themeColor="accent1" w:themeShade="80"/>
        </w:rPr>
        <w:t xml:space="preserve"> - </w:t>
      </w:r>
      <w:r w:rsidR="009F5565" w:rsidRPr="00902C78">
        <w:rPr>
          <w:b w:val="0"/>
          <w:bCs/>
        </w:rPr>
        <w:t>with existing SARAs and additional spectroscopic monitors</w:t>
      </w:r>
      <w:bookmarkEnd w:id="20"/>
    </w:p>
    <w:p w14:paraId="2BEF3C64" w14:textId="12A3B8F4" w:rsidR="00902C78" w:rsidRDefault="00902C78" w:rsidP="009F5565"/>
    <w:p w14:paraId="2DFB23E9" w14:textId="2D00D1CD" w:rsidR="00BA7840" w:rsidRDefault="00BA7840" w:rsidP="009F5565">
      <w:r>
        <w:t>Procurement and roll-out of 92 new spectrometric monitors to the current fixed monitor locations enabling the decommissioning of the fixed monitor technology and associated comms</w:t>
      </w:r>
    </w:p>
    <w:p w14:paraId="418A17D1" w14:textId="38244D60" w:rsidR="00021253" w:rsidRDefault="00021253" w:rsidP="00021253">
      <w:r>
        <w:t>If the fixed network of monitors was replaced with a</w:t>
      </w:r>
      <w:r w:rsidR="00EF6AD1">
        <w:t xml:space="preserve"> spectrometric </w:t>
      </w:r>
      <w:r>
        <w:t>technology solution that was wirelessly networked, th</w:t>
      </w:r>
      <w:r w:rsidR="00EF6AD1">
        <w:t>is</w:t>
      </w:r>
      <w:r>
        <w:t xml:space="preserve"> would negate the need for bridging solution for RREMS.</w:t>
      </w:r>
    </w:p>
    <w:p w14:paraId="09D72230" w14:textId="619CD59B" w:rsidR="00037908" w:rsidRDefault="00EF6AD1" w:rsidP="009F5565">
      <w:r>
        <w:t>Notes from the Monitor paper….</w:t>
      </w:r>
    </w:p>
    <w:p w14:paraId="1E3B520D" w14:textId="77777777" w:rsidR="00037908" w:rsidRDefault="00037908" w:rsidP="009F5565"/>
    <w:p w14:paraId="6E9478B8" w14:textId="77777777" w:rsidR="00037908" w:rsidRDefault="00037908" w:rsidP="009F5565"/>
    <w:p w14:paraId="09CB6CF9" w14:textId="54D44629" w:rsidR="009F5565" w:rsidRPr="00CB7509" w:rsidRDefault="009F5565" w:rsidP="009F5565">
      <w:pPr>
        <w:rPr>
          <w:highlight w:val="lightGray"/>
        </w:rPr>
      </w:pPr>
      <w:r w:rsidRPr="00CB7509">
        <w:rPr>
          <w:highlight w:val="lightGray"/>
        </w:rPr>
        <w:t xml:space="preserve">Monitors = </w:t>
      </w:r>
      <w:r w:rsidR="009C47CF" w:rsidRPr="00CB7509">
        <w:rPr>
          <w:highlight w:val="lightGray"/>
        </w:rPr>
        <w:t>(</w:t>
      </w:r>
      <w:r w:rsidR="00406CC9" w:rsidRPr="00CB7509">
        <w:rPr>
          <w:highlight w:val="lightGray"/>
        </w:rPr>
        <w:t>60</w:t>
      </w:r>
      <w:r w:rsidR="009C47CF" w:rsidRPr="00CB7509">
        <w:rPr>
          <w:highlight w:val="lightGray"/>
        </w:rPr>
        <w:t>-11</w:t>
      </w:r>
      <w:r w:rsidR="009C47CF" w:rsidRPr="00CB7509">
        <w:rPr>
          <w:rStyle w:val="FootnoteReference"/>
          <w:highlight w:val="lightGray"/>
        </w:rPr>
        <w:footnoteReference w:id="6"/>
      </w:r>
      <w:r w:rsidR="009C47CF" w:rsidRPr="00CB7509">
        <w:rPr>
          <w:highlight w:val="lightGray"/>
        </w:rPr>
        <w:t>) x £</w:t>
      </w:r>
      <w:r w:rsidRPr="00CB7509">
        <w:rPr>
          <w:highlight w:val="lightGray"/>
        </w:rPr>
        <w:t xml:space="preserve">12k = </w:t>
      </w:r>
      <w:r w:rsidR="009C47CF" w:rsidRPr="00CB7509">
        <w:rPr>
          <w:highlight w:val="lightGray"/>
        </w:rPr>
        <w:t>£</w:t>
      </w:r>
      <w:r w:rsidR="00012349" w:rsidRPr="00CB7509">
        <w:rPr>
          <w:highlight w:val="lightGray"/>
        </w:rPr>
        <w:t>720</w:t>
      </w:r>
      <w:r w:rsidRPr="00CB7509">
        <w:rPr>
          <w:highlight w:val="lightGray"/>
        </w:rPr>
        <w:t xml:space="preserve">k </w:t>
      </w:r>
    </w:p>
    <w:p w14:paraId="6A34B7A8" w14:textId="2082A8B3" w:rsidR="002F609E" w:rsidRPr="00CB7509" w:rsidRDefault="002F609E" w:rsidP="009F5565">
      <w:pPr>
        <w:rPr>
          <w:highlight w:val="lightGray"/>
        </w:rPr>
      </w:pPr>
      <w:r w:rsidRPr="00CB7509">
        <w:rPr>
          <w:highlight w:val="lightGray"/>
        </w:rPr>
        <w:t>SARA NMC server</w:t>
      </w:r>
      <w:r w:rsidR="001C3371" w:rsidRPr="00CB7509">
        <w:rPr>
          <w:highlight w:val="lightGray"/>
        </w:rPr>
        <w:t xml:space="preserve"> maintenance: £38.9k/annum</w:t>
      </w:r>
      <w:r w:rsidR="001C3371" w:rsidRPr="00CB7509">
        <w:rPr>
          <w:rStyle w:val="FootnoteReference"/>
          <w:highlight w:val="lightGray"/>
        </w:rPr>
        <w:footnoteReference w:id="7"/>
      </w:r>
    </w:p>
    <w:p w14:paraId="5D7517A8" w14:textId="4B038966" w:rsidR="009F5565" w:rsidRPr="00CB7509" w:rsidRDefault="009061E2" w:rsidP="009F5565">
      <w:pPr>
        <w:rPr>
          <w:highlight w:val="lightGray"/>
        </w:rPr>
      </w:pPr>
      <w:r w:rsidRPr="00CB7509">
        <w:rPr>
          <w:highlight w:val="lightGray"/>
        </w:rPr>
        <w:t xml:space="preserve">Based on </w:t>
      </w:r>
      <w:proofErr w:type="spellStart"/>
      <w:r w:rsidRPr="00CB7509">
        <w:rPr>
          <w:highlight w:val="lightGray"/>
        </w:rPr>
        <w:t>Kromek’s</w:t>
      </w:r>
      <w:proofErr w:type="spellEnd"/>
      <w:r w:rsidRPr="00CB7509">
        <w:rPr>
          <w:highlight w:val="lightGray"/>
        </w:rPr>
        <w:t xml:space="preserve"> </w:t>
      </w:r>
      <w:r w:rsidR="00B33F02" w:rsidRPr="00CB7509">
        <w:rPr>
          <w:highlight w:val="lightGray"/>
        </w:rPr>
        <w:t>support and maintenance cost (£</w:t>
      </w:r>
      <w:r w:rsidR="009F5565" w:rsidRPr="00CB7509">
        <w:rPr>
          <w:highlight w:val="lightGray"/>
        </w:rPr>
        <w:t>1k/annum for diagnostics, labour, and repair estimate</w:t>
      </w:r>
      <w:r w:rsidR="00B33F02" w:rsidRPr="00CB7509">
        <w:rPr>
          <w:highlight w:val="lightGray"/>
        </w:rPr>
        <w:t xml:space="preserve"> with o</w:t>
      </w:r>
      <w:r w:rsidR="009F5565" w:rsidRPr="00CB7509">
        <w:rPr>
          <w:highlight w:val="lightGray"/>
        </w:rPr>
        <w:t>ne annual calibration and firmware upgrade</w:t>
      </w:r>
      <w:r w:rsidR="00B33F02" w:rsidRPr="00CB7509">
        <w:rPr>
          <w:highlight w:val="lightGray"/>
        </w:rPr>
        <w:t xml:space="preserve">): </w:t>
      </w:r>
      <w:r w:rsidR="007F085B" w:rsidRPr="00CB7509">
        <w:rPr>
          <w:highlight w:val="lightGray"/>
        </w:rPr>
        <w:t>60 x £1k = £60k</w:t>
      </w:r>
    </w:p>
    <w:p w14:paraId="61BAED5D" w14:textId="79559113" w:rsidR="00463E68" w:rsidRPr="00CB7509" w:rsidRDefault="00463E68" w:rsidP="009F5565">
      <w:pPr>
        <w:rPr>
          <w:highlight w:val="lightGray"/>
        </w:rPr>
      </w:pPr>
      <w:r w:rsidRPr="00CB7509">
        <w:rPr>
          <w:highlight w:val="lightGray"/>
        </w:rPr>
        <w:t xml:space="preserve">Therefore: </w:t>
      </w:r>
      <w:r w:rsidR="00281575" w:rsidRPr="00CB7509">
        <w:rPr>
          <w:highlight w:val="lightGray"/>
        </w:rPr>
        <w:t xml:space="preserve">£720k + £38.9k + £60k = </w:t>
      </w:r>
      <w:r w:rsidR="00042217" w:rsidRPr="00CB7509">
        <w:rPr>
          <w:highlight w:val="lightGray"/>
        </w:rPr>
        <w:t>£818.9k</w:t>
      </w:r>
    </w:p>
    <w:p w14:paraId="5AC8A070" w14:textId="2731235B" w:rsidR="00FC65F5" w:rsidRPr="00CB7509" w:rsidRDefault="00D720A8" w:rsidP="009F5565">
      <w:pPr>
        <w:rPr>
          <w:highlight w:val="lightGray"/>
        </w:rPr>
      </w:pPr>
      <w:r w:rsidRPr="00CB7509">
        <w:rPr>
          <w:highlight w:val="lightGray"/>
        </w:rPr>
        <w:t>Assum</w:t>
      </w:r>
      <w:r w:rsidR="00FC65F5" w:rsidRPr="00CB7509">
        <w:rPr>
          <w:highlight w:val="lightGray"/>
        </w:rPr>
        <w:t>ptions:</w:t>
      </w:r>
    </w:p>
    <w:p w14:paraId="08F7FF62" w14:textId="0D95C8BA" w:rsidR="00C82247" w:rsidRPr="00CB7509" w:rsidRDefault="00D720A8" w:rsidP="00A0395D">
      <w:pPr>
        <w:pStyle w:val="ListParagraph"/>
        <w:numPr>
          <w:ilvl w:val="0"/>
          <w:numId w:val="9"/>
        </w:numPr>
        <w:rPr>
          <w:highlight w:val="lightGray"/>
        </w:rPr>
      </w:pPr>
      <w:r w:rsidRPr="00CB7509">
        <w:rPr>
          <w:highlight w:val="lightGray"/>
        </w:rPr>
        <w:t xml:space="preserve">SIM card costs are </w:t>
      </w:r>
      <w:r w:rsidR="00FC65F5" w:rsidRPr="00CB7509">
        <w:rPr>
          <w:highlight w:val="lightGray"/>
        </w:rPr>
        <w:t xml:space="preserve">identical to those currently issued for R3Ms (therefore no additional cost as like-for-like replacement). </w:t>
      </w:r>
    </w:p>
    <w:p w14:paraId="28A49808" w14:textId="55103D71" w:rsidR="00D217DE" w:rsidRPr="00CB7509" w:rsidRDefault="00FC65F5" w:rsidP="00A0395D">
      <w:pPr>
        <w:pStyle w:val="ListParagraph"/>
        <w:numPr>
          <w:ilvl w:val="0"/>
          <w:numId w:val="9"/>
        </w:numPr>
        <w:rPr>
          <w:highlight w:val="lightGray"/>
        </w:rPr>
      </w:pPr>
      <w:r w:rsidRPr="00CB7509">
        <w:rPr>
          <w:highlight w:val="lightGray"/>
        </w:rPr>
        <w:t xml:space="preserve">Increased </w:t>
      </w:r>
      <w:r w:rsidR="003142FE" w:rsidRPr="00CB7509">
        <w:rPr>
          <w:highlight w:val="lightGray"/>
        </w:rPr>
        <w:t xml:space="preserve">cost for </w:t>
      </w:r>
      <w:r w:rsidR="00BA673F" w:rsidRPr="00CB7509">
        <w:rPr>
          <w:highlight w:val="lightGray"/>
        </w:rPr>
        <w:t>Field Engineers time and materials for maintenance and swap-outs</w:t>
      </w:r>
      <w:r w:rsidR="00D217DE" w:rsidRPr="00CB7509">
        <w:rPr>
          <w:highlight w:val="lightGray"/>
        </w:rPr>
        <w:t xml:space="preserve"> covered in current annual budget for monitor support and maintenance</w:t>
      </w:r>
      <w:r w:rsidR="008E2558" w:rsidRPr="00CB7509">
        <w:rPr>
          <w:highlight w:val="lightGray"/>
        </w:rPr>
        <w:t xml:space="preserve"> (if cost savings realised through replacement of fixed monitors with R3M monitors)</w:t>
      </w:r>
      <w:r w:rsidR="007362BC" w:rsidRPr="00CB7509">
        <w:rPr>
          <w:rStyle w:val="FootnoteReference"/>
          <w:highlight w:val="lightGray"/>
        </w:rPr>
        <w:footnoteReference w:id="8"/>
      </w:r>
    </w:p>
    <w:p w14:paraId="3D3D5134" w14:textId="407304E2" w:rsidR="00E05850" w:rsidRPr="00CB7509" w:rsidRDefault="00E05850" w:rsidP="00E05850">
      <w:pPr>
        <w:rPr>
          <w:highlight w:val="lightGray"/>
        </w:rPr>
      </w:pPr>
      <w:r w:rsidRPr="00CB7509">
        <w:rPr>
          <w:highlight w:val="lightGray"/>
        </w:rPr>
        <w:t>Exclusions</w:t>
      </w:r>
      <w:r w:rsidR="00D217DE" w:rsidRPr="00CB7509">
        <w:rPr>
          <w:highlight w:val="lightGray"/>
        </w:rPr>
        <w:t>:</w:t>
      </w:r>
    </w:p>
    <w:p w14:paraId="231B115C" w14:textId="4342D561" w:rsidR="00E05850" w:rsidRPr="00CB7509" w:rsidRDefault="00C45635" w:rsidP="00A0395D">
      <w:pPr>
        <w:pStyle w:val="ListParagraph"/>
        <w:numPr>
          <w:ilvl w:val="0"/>
          <w:numId w:val="11"/>
        </w:numPr>
        <w:rPr>
          <w:highlight w:val="lightGray"/>
        </w:rPr>
      </w:pPr>
      <w:r w:rsidRPr="00CB7509">
        <w:rPr>
          <w:highlight w:val="lightGray"/>
        </w:rPr>
        <w:t xml:space="preserve">SIM cards </w:t>
      </w:r>
      <w:r w:rsidR="000D2493" w:rsidRPr="00CB7509">
        <w:rPr>
          <w:highlight w:val="lightGray"/>
        </w:rPr>
        <w:t xml:space="preserve">with </w:t>
      </w:r>
      <w:r w:rsidR="00920664" w:rsidRPr="00CB7509">
        <w:rPr>
          <w:highlight w:val="lightGray"/>
        </w:rPr>
        <w:t>private network access</w:t>
      </w:r>
    </w:p>
    <w:p w14:paraId="0A69867C" w14:textId="443BF562" w:rsidR="00F879F0" w:rsidRPr="00CB7509" w:rsidRDefault="00F879F0" w:rsidP="00A0395D">
      <w:pPr>
        <w:pStyle w:val="ListParagraph"/>
        <w:numPr>
          <w:ilvl w:val="0"/>
          <w:numId w:val="11"/>
        </w:numPr>
        <w:rPr>
          <w:highlight w:val="lightGray"/>
        </w:rPr>
      </w:pPr>
      <w:r w:rsidRPr="00CB7509">
        <w:rPr>
          <w:highlight w:val="lightGray"/>
        </w:rPr>
        <w:lastRenderedPageBreak/>
        <w:t>Monitor installation costs</w:t>
      </w:r>
    </w:p>
    <w:p w14:paraId="61514208" w14:textId="77777777" w:rsidR="000E7E0C" w:rsidRDefault="000E7E0C" w:rsidP="598909F4">
      <w:pPr>
        <w:pStyle w:val="NotesExample"/>
        <w:rPr>
          <w:rFonts w:eastAsia="Arial" w:cs="Arial"/>
        </w:rPr>
      </w:pPr>
    </w:p>
    <w:p w14:paraId="556B63EF" w14:textId="77777777" w:rsidR="000E7E0C" w:rsidRDefault="000E7E0C" w:rsidP="598909F4">
      <w:pPr>
        <w:pStyle w:val="NotesExample"/>
        <w:rPr>
          <w:rFonts w:eastAsia="Arial" w:cs="Arial"/>
        </w:rPr>
      </w:pPr>
    </w:p>
    <w:p w14:paraId="2C8A24E8" w14:textId="24BD0D83" w:rsidR="000E7E0C" w:rsidRDefault="009D3F02" w:rsidP="00B96F82">
      <w:pPr>
        <w:pStyle w:val="Heading2"/>
      </w:pPr>
      <w:bookmarkStart w:id="21" w:name="_Toc58423960"/>
      <w:r>
        <w:t xml:space="preserve">Option </w:t>
      </w:r>
      <w:r w:rsidR="000E7E0C">
        <w:t xml:space="preserve">3 </w:t>
      </w:r>
      <w:r w:rsidR="00575DBB">
        <w:t>–</w:t>
      </w:r>
      <w:r w:rsidR="000E7E0C">
        <w:t xml:space="preserve"> </w:t>
      </w:r>
      <w:r w:rsidR="00575DBB">
        <w:t>Recompete existing support contracts</w:t>
      </w:r>
      <w:r w:rsidR="00B96F82">
        <w:t xml:space="preserve"> with change of scope</w:t>
      </w:r>
      <w:bookmarkEnd w:id="21"/>
    </w:p>
    <w:p w14:paraId="12433F3D" w14:textId="67ABBB96" w:rsidR="003F4B12" w:rsidRDefault="001C0C55" w:rsidP="003F4B12">
      <w:pPr>
        <w:pStyle w:val="NotesExample"/>
        <w:numPr>
          <w:ilvl w:val="0"/>
          <w:numId w:val="25"/>
        </w:numPr>
        <w:rPr>
          <w:rFonts w:eastAsia="Arial" w:cs="Arial"/>
          <w:b w:val="0"/>
          <w:bCs/>
        </w:rPr>
      </w:pPr>
      <w:r w:rsidRPr="003F4B12">
        <w:rPr>
          <w:rFonts w:eastAsia="Arial" w:cs="Arial"/>
          <w:b w:val="0"/>
          <w:bCs/>
        </w:rPr>
        <w:t>Procurement</w:t>
      </w:r>
      <w:r w:rsidR="003F4B12" w:rsidRPr="003F4B12">
        <w:rPr>
          <w:rFonts w:eastAsia="Arial" w:cs="Arial"/>
          <w:b w:val="0"/>
          <w:bCs/>
        </w:rPr>
        <w:t>…</w:t>
      </w:r>
      <w:r w:rsidR="00726C82">
        <w:rPr>
          <w:rFonts w:eastAsia="Arial" w:cs="Arial"/>
          <w:b w:val="0"/>
          <w:bCs/>
        </w:rPr>
        <w:t>timescales</w:t>
      </w:r>
    </w:p>
    <w:p w14:paraId="0485D8D3" w14:textId="1F2A2C21" w:rsidR="003F4B12" w:rsidRDefault="003F4B12" w:rsidP="003F4B12">
      <w:pPr>
        <w:pStyle w:val="ListParagraph"/>
        <w:numPr>
          <w:ilvl w:val="0"/>
          <w:numId w:val="25"/>
        </w:numPr>
      </w:pPr>
      <w:r>
        <w:t>IPR challenges</w:t>
      </w:r>
    </w:p>
    <w:p w14:paraId="53F95023" w14:textId="77777777" w:rsidR="003F4B12" w:rsidRPr="003F4B12" w:rsidRDefault="003F4B12" w:rsidP="003F4B12">
      <w:pPr>
        <w:pStyle w:val="ListParagraph"/>
        <w:numPr>
          <w:ilvl w:val="0"/>
          <w:numId w:val="25"/>
        </w:numPr>
      </w:pPr>
    </w:p>
    <w:p w14:paraId="44CD984E" w14:textId="77777777" w:rsidR="00726C82" w:rsidRDefault="00726C82" w:rsidP="00726C82">
      <w:pPr>
        <w:pStyle w:val="NotesExample"/>
        <w:rPr>
          <w:rFonts w:eastAsia="Arial" w:cs="Arial"/>
        </w:rPr>
      </w:pPr>
      <w:r>
        <w:rPr>
          <w:rFonts w:eastAsia="Arial" w:cs="Arial"/>
        </w:rPr>
        <w:t>Assumptions</w:t>
      </w:r>
    </w:p>
    <w:p w14:paraId="5A0BD0EC" w14:textId="3D2AE96F" w:rsidR="00726C82" w:rsidRPr="00726C82" w:rsidRDefault="00726C82" w:rsidP="00726C82">
      <w:pPr>
        <w:pStyle w:val="ListParagraph"/>
        <w:numPr>
          <w:ilvl w:val="0"/>
          <w:numId w:val="26"/>
        </w:numPr>
      </w:pPr>
      <w:r>
        <w:t>??</w:t>
      </w:r>
    </w:p>
    <w:p w14:paraId="5030DD5D" w14:textId="79FEF36D" w:rsidR="00726C82" w:rsidRDefault="00726C82" w:rsidP="00726C82">
      <w:pPr>
        <w:pStyle w:val="NotesExample"/>
      </w:pPr>
      <w:r>
        <w:t>Exclusions</w:t>
      </w:r>
    </w:p>
    <w:p w14:paraId="33410D00" w14:textId="7DDF0874" w:rsidR="00726C82" w:rsidRPr="00726C82" w:rsidRDefault="00726C82" w:rsidP="00726C82">
      <w:pPr>
        <w:pStyle w:val="ListParagraph"/>
        <w:numPr>
          <w:ilvl w:val="0"/>
          <w:numId w:val="26"/>
        </w:numPr>
      </w:pPr>
      <w:r>
        <w:t>??</w:t>
      </w:r>
    </w:p>
    <w:p w14:paraId="12B4367E" w14:textId="4285009E" w:rsidR="00726C82" w:rsidRPr="00726C82" w:rsidRDefault="00726C82" w:rsidP="00726C82">
      <w:pPr>
        <w:rPr>
          <w:b/>
          <w:bCs/>
        </w:rPr>
      </w:pPr>
      <w:r w:rsidRPr="00726C82">
        <w:rPr>
          <w:b/>
          <w:bCs/>
        </w:rPr>
        <w:t>Risks</w:t>
      </w:r>
    </w:p>
    <w:p w14:paraId="34297B33" w14:textId="52500355" w:rsidR="009D3F02" w:rsidRPr="00726C82" w:rsidRDefault="00726C82" w:rsidP="00726C82">
      <w:pPr>
        <w:pStyle w:val="NotesExample"/>
        <w:numPr>
          <w:ilvl w:val="0"/>
          <w:numId w:val="26"/>
        </w:numPr>
        <w:rPr>
          <w:rFonts w:eastAsia="Arial" w:cs="Arial"/>
          <w:b w:val="0"/>
        </w:rPr>
      </w:pPr>
      <w:r w:rsidRPr="00726C82">
        <w:rPr>
          <w:rFonts w:eastAsia="Arial" w:cs="Arial"/>
          <w:b w:val="0"/>
          <w:bCs/>
        </w:rPr>
        <w:t>??</w:t>
      </w:r>
    </w:p>
    <w:p w14:paraId="35247C3C" w14:textId="0EC34B01" w:rsidR="009F5565" w:rsidRDefault="009F5565" w:rsidP="00FB2483">
      <w:pPr>
        <w:pStyle w:val="NotesExample"/>
      </w:pPr>
      <w:r>
        <w:br w:type="page"/>
      </w:r>
    </w:p>
    <w:p w14:paraId="01A364FB" w14:textId="0984A823" w:rsidR="00A86778" w:rsidRDefault="00A86778" w:rsidP="00CD0568">
      <w:pPr>
        <w:pStyle w:val="Heading2"/>
      </w:pPr>
      <w:bookmarkStart w:id="22" w:name="_Ref44405600"/>
      <w:bookmarkStart w:id="23" w:name="_Toc58423961"/>
      <w:r>
        <w:lastRenderedPageBreak/>
        <w:t>Implementation</w:t>
      </w:r>
      <w:bookmarkEnd w:id="22"/>
      <w:bookmarkEnd w:id="23"/>
    </w:p>
    <w:p w14:paraId="7D21F9B3" w14:textId="19AC9187" w:rsidR="008D3649" w:rsidRDefault="008D3649" w:rsidP="003510B0">
      <w:pPr>
        <w:pStyle w:val="Heading4"/>
      </w:pPr>
      <w:r>
        <w:t>Procurement</w:t>
      </w:r>
    </w:p>
    <w:p w14:paraId="16154641" w14:textId="5616328D" w:rsidR="00170665" w:rsidRDefault="00710B26" w:rsidP="008D3649">
      <w:r>
        <w:t xml:space="preserve">BEIS will be responsible for </w:t>
      </w:r>
      <w:r w:rsidR="007A32EB">
        <w:t>procuring</w:t>
      </w:r>
      <w:r w:rsidR="00CF4AF0">
        <w:t xml:space="preserve"> new </w:t>
      </w:r>
      <w:r w:rsidR="007A32EB">
        <w:t>services to support</w:t>
      </w:r>
      <w:r w:rsidR="00FC00F8">
        <w:t xml:space="preserve"> the proposed options.</w:t>
      </w:r>
      <w:r w:rsidR="001C488A">
        <w:t xml:space="preserve"> </w:t>
      </w:r>
      <w:r w:rsidR="00976E95">
        <w:t>This must be done in accordance with……</w:t>
      </w:r>
    </w:p>
    <w:p w14:paraId="61253FBB" w14:textId="52936722" w:rsidR="00710B26" w:rsidRPr="008D3649" w:rsidRDefault="001C488A" w:rsidP="008D3649">
      <w:r>
        <w:t xml:space="preserve">If an award </w:t>
      </w:r>
      <w:r w:rsidR="00170665">
        <w:t xml:space="preserve">for Option 1 </w:t>
      </w:r>
      <w:r>
        <w:t>is made to CGI Ltd</w:t>
      </w:r>
      <w:r w:rsidR="00170665">
        <w:t>,</w:t>
      </w:r>
      <w:r>
        <w:t xml:space="preserve"> </w:t>
      </w:r>
      <w:r w:rsidR="00170665">
        <w:t xml:space="preserve">the delivery of this </w:t>
      </w:r>
      <w:r w:rsidR="00932629">
        <w:t>webservice can be</w:t>
      </w:r>
      <w:r w:rsidR="00A51C88">
        <w:t xml:space="preserve"> </w:t>
      </w:r>
      <w:r w:rsidR="00170665">
        <w:t>managed</w:t>
      </w:r>
      <w:r w:rsidR="00CA18F1">
        <w:t xml:space="preserve"> under the current</w:t>
      </w:r>
      <w:r w:rsidR="00170665">
        <w:t xml:space="preserve"> RIMNET </w:t>
      </w:r>
      <w:r w:rsidR="00CA18F1">
        <w:t>contract</w:t>
      </w:r>
      <w:r w:rsidR="00170665">
        <w:t xml:space="preserve"> change </w:t>
      </w:r>
      <w:r w:rsidR="00CA18F1">
        <w:t>process.</w:t>
      </w:r>
    </w:p>
    <w:p w14:paraId="27B8FB47" w14:textId="60F075BB" w:rsidR="009937DF" w:rsidRPr="0053598C" w:rsidRDefault="009937DF" w:rsidP="003510B0">
      <w:pPr>
        <w:pStyle w:val="Heading4"/>
      </w:pPr>
      <w:r w:rsidRPr="0053598C">
        <w:t>Contract Management</w:t>
      </w:r>
    </w:p>
    <w:p w14:paraId="02679E16" w14:textId="4DF6AACC" w:rsidR="00630558" w:rsidRPr="00630558" w:rsidRDefault="009D1861" w:rsidP="00630558">
      <w:r>
        <w:t>Depending upon the option</w:t>
      </w:r>
      <w:r w:rsidR="001A284B">
        <w:t xml:space="preserve"> </w:t>
      </w:r>
      <w:r w:rsidR="002D3A2B">
        <w:t xml:space="preserve">(1-3) </w:t>
      </w:r>
      <w:r w:rsidR="001A284B">
        <w:t>chosen, BEIS should consider:</w:t>
      </w:r>
    </w:p>
    <w:p w14:paraId="2BF707E4" w14:textId="39E81518" w:rsidR="001A284B" w:rsidRPr="00DC115D" w:rsidRDefault="008D661E" w:rsidP="001A284B">
      <w:pPr>
        <w:pStyle w:val="ListParagraph"/>
        <w:numPr>
          <w:ilvl w:val="0"/>
          <w:numId w:val="15"/>
        </w:numPr>
        <w:spacing w:before="120" w:after="120" w:line="240" w:lineRule="auto"/>
        <w:ind w:left="714" w:hanging="357"/>
        <w:contextualSpacing w:val="0"/>
        <w:rPr>
          <w:u w:val="single"/>
        </w:rPr>
      </w:pPr>
      <w:r w:rsidRPr="00DC115D">
        <w:rPr>
          <w:u w:val="single"/>
        </w:rPr>
        <w:t>BEIS m</w:t>
      </w:r>
      <w:r w:rsidR="001A284B" w:rsidRPr="00DC115D">
        <w:rPr>
          <w:u w:val="single"/>
        </w:rPr>
        <w:t>anag</w:t>
      </w:r>
      <w:r w:rsidR="00E6352D">
        <w:rPr>
          <w:u w:val="single"/>
        </w:rPr>
        <w:t>ed</w:t>
      </w:r>
      <w:r w:rsidR="001825B4" w:rsidRPr="00DC115D">
        <w:rPr>
          <w:u w:val="single"/>
        </w:rPr>
        <w:t xml:space="preserve"> implement</w:t>
      </w:r>
      <w:r w:rsidRPr="00DC115D">
        <w:t>ation -</w:t>
      </w:r>
      <w:r w:rsidR="001A284B" w:rsidRPr="00DC115D">
        <w:t xml:space="preserve"> The Nuclear Resilience team (ideally the RREMS Service Manager or Service Delivery Manager, or a long-term extension of the Commercial Lead role) manages the </w:t>
      </w:r>
      <w:r w:rsidR="006D34DF" w:rsidRPr="00DC115D">
        <w:t xml:space="preserve">new </w:t>
      </w:r>
      <w:r w:rsidR="001A284B" w:rsidRPr="00DC115D">
        <w:t xml:space="preserve">contract directly with the supplier. </w:t>
      </w:r>
    </w:p>
    <w:p w14:paraId="6CC4166E" w14:textId="79584821" w:rsidR="001A284B" w:rsidRPr="00E15E29" w:rsidRDefault="00683FF3" w:rsidP="001A284B">
      <w:pPr>
        <w:pStyle w:val="ListParagraph"/>
        <w:numPr>
          <w:ilvl w:val="0"/>
          <w:numId w:val="15"/>
        </w:numPr>
        <w:spacing w:before="120" w:after="120" w:line="240" w:lineRule="auto"/>
        <w:ind w:left="714" w:hanging="357"/>
        <w:contextualSpacing w:val="0"/>
      </w:pPr>
      <w:r w:rsidRPr="00E15E29">
        <w:rPr>
          <w:u w:val="single"/>
        </w:rPr>
        <w:t>Met Office managed</w:t>
      </w:r>
      <w:r w:rsidR="001A284B" w:rsidRPr="00E15E29">
        <w:rPr>
          <w:u w:val="single"/>
        </w:rPr>
        <w:t xml:space="preserve"> </w:t>
      </w:r>
      <w:r w:rsidR="000E5444" w:rsidRPr="00E15E29">
        <w:rPr>
          <w:u w:val="single"/>
        </w:rPr>
        <w:t>implementation</w:t>
      </w:r>
      <w:r w:rsidR="001A284B" w:rsidRPr="00E15E29">
        <w:rPr>
          <w:u w:val="single"/>
        </w:rPr>
        <w:t xml:space="preserve"> on behalf of BEIS</w:t>
      </w:r>
      <w:r w:rsidRPr="00E15E29">
        <w:t xml:space="preserve"> </w:t>
      </w:r>
      <w:r w:rsidR="00922D8E" w:rsidRPr="00E15E29">
        <w:t>–</w:t>
      </w:r>
      <w:r w:rsidRPr="00E15E29">
        <w:t xml:space="preserve"> </w:t>
      </w:r>
      <w:r w:rsidR="005E5A17" w:rsidRPr="00E15E29">
        <w:t xml:space="preserve">BEIS could delegate the </w:t>
      </w:r>
      <w:r w:rsidR="00CB348D" w:rsidRPr="00E15E29">
        <w:t>implementation and running of this service</w:t>
      </w:r>
      <w:r w:rsidR="005E5A17" w:rsidRPr="00E15E29">
        <w:t xml:space="preserve"> </w:t>
      </w:r>
      <w:r w:rsidR="00202271" w:rsidRPr="00E15E29">
        <w:t xml:space="preserve">to the Met Office </w:t>
      </w:r>
      <w:r w:rsidR="0072070F" w:rsidRPr="00E15E29">
        <w:t>in the event that Option 1 is selected</w:t>
      </w:r>
      <w:r w:rsidR="00277C27" w:rsidRPr="00E15E29">
        <w:t xml:space="preserve">. </w:t>
      </w:r>
      <w:r w:rsidR="005657C2" w:rsidRPr="00E15E29">
        <w:t xml:space="preserve">The Met Office would </w:t>
      </w:r>
      <w:r w:rsidR="00EE04C4" w:rsidRPr="00E15E29">
        <w:t xml:space="preserve">hand over this responsibility </w:t>
      </w:r>
      <w:r w:rsidR="00B33094" w:rsidRPr="00E15E29">
        <w:t>when parallel running commences</w:t>
      </w:r>
      <w:r w:rsidR="006C7ED3" w:rsidRPr="00E15E29">
        <w:t xml:space="preserve"> (or </w:t>
      </w:r>
      <w:r w:rsidR="00D46C15" w:rsidRPr="00E15E29">
        <w:t>when RIMNET is</w:t>
      </w:r>
      <w:r w:rsidR="005E5A17" w:rsidRPr="00E15E29">
        <w:t xml:space="preserve"> </w:t>
      </w:r>
      <w:r w:rsidR="00B41786" w:rsidRPr="00E15E29">
        <w:t>decommissioned.</w:t>
      </w:r>
      <w:r w:rsidR="001A284B" w:rsidRPr="00E15E29">
        <w:t xml:space="preserve"> The current MoU could be adjusted to include the broader responsibilities – the MoU currently covers the period through to August 2024.</w:t>
      </w:r>
    </w:p>
    <w:p w14:paraId="6EF01E9C" w14:textId="2CC86E5F" w:rsidR="001A284B" w:rsidRPr="00630558" w:rsidRDefault="00613BAA" w:rsidP="00630558">
      <w:r>
        <w:t>In either case, BEIS should maintain the contract for supply.</w:t>
      </w:r>
    </w:p>
    <w:p w14:paraId="590F6D39" w14:textId="151C12FA" w:rsidR="00630558" w:rsidRPr="00630558" w:rsidRDefault="00630558" w:rsidP="00630558">
      <w:pPr>
        <w:pStyle w:val="Heading3"/>
        <w:rPr>
          <w:b w:val="0"/>
          <w:bCs/>
        </w:rPr>
      </w:pPr>
      <w:bookmarkStart w:id="24" w:name="_Toc58423962"/>
      <w:r w:rsidRPr="00630558">
        <w:rPr>
          <w:b w:val="0"/>
          <w:bCs/>
        </w:rPr>
        <w:t>Existing Monitoring Network</w:t>
      </w:r>
      <w:bookmarkEnd w:id="24"/>
    </w:p>
    <w:p w14:paraId="657243E2" w14:textId="1A736326" w:rsidR="00391064" w:rsidRDefault="00754626" w:rsidP="009937DF">
      <w:r>
        <w:t xml:space="preserve">Should the chosen option require the </w:t>
      </w:r>
      <w:r w:rsidR="001D4E19">
        <w:t xml:space="preserve">extension of the monitoring </w:t>
      </w:r>
      <w:r w:rsidR="00554FA4">
        <w:t>contracts</w:t>
      </w:r>
      <w:r w:rsidR="001D4E19">
        <w:t xml:space="preserve"> </w:t>
      </w:r>
      <w:r w:rsidR="007C0D44">
        <w:t xml:space="preserve">(beyond </w:t>
      </w:r>
      <w:r w:rsidR="00CF238B">
        <w:t>31</w:t>
      </w:r>
      <w:r w:rsidR="00CF238B" w:rsidRPr="00CF238B">
        <w:rPr>
          <w:vertAlign w:val="superscript"/>
        </w:rPr>
        <w:t>st</w:t>
      </w:r>
      <w:r w:rsidR="00CF238B">
        <w:t xml:space="preserve"> </w:t>
      </w:r>
      <w:r w:rsidR="007C0D44">
        <w:t xml:space="preserve">July 2022) </w:t>
      </w:r>
      <w:r w:rsidR="00A867C1">
        <w:t>this wi</w:t>
      </w:r>
      <w:r w:rsidR="00EC527F">
        <w:t>ll require agreement from the Met Office</w:t>
      </w:r>
      <w:r w:rsidR="007C0D44">
        <w:t xml:space="preserve"> who hold</w:t>
      </w:r>
      <w:r w:rsidR="00F56BB2">
        <w:t xml:space="preserve"> </w:t>
      </w:r>
      <w:r w:rsidR="007C0D44">
        <w:t>t</w:t>
      </w:r>
      <w:r w:rsidR="00EA5DE3">
        <w:t>he</w:t>
      </w:r>
      <w:r w:rsidR="00F56BB2">
        <w:t xml:space="preserve"> </w:t>
      </w:r>
      <w:r w:rsidR="007C0D44">
        <w:t xml:space="preserve">contract with Ultra Energy Ltd. </w:t>
      </w:r>
      <w:r w:rsidR="0091281C">
        <w:t xml:space="preserve">The current agreement </w:t>
      </w:r>
      <w:r w:rsidR="00806580">
        <w:t>can be terminated a</w:t>
      </w:r>
      <w:r w:rsidR="009E6D99">
        <w:t>t</w:t>
      </w:r>
      <w:r w:rsidR="00806580">
        <w:t xml:space="preserve"> 6-months’ notice</w:t>
      </w:r>
      <w:r w:rsidR="008910D8">
        <w:t>;</w:t>
      </w:r>
      <w:r w:rsidR="00806580">
        <w:t xml:space="preserve"> however</w:t>
      </w:r>
      <w:r w:rsidR="00267380">
        <w:t>,</w:t>
      </w:r>
      <w:r w:rsidR="00806580">
        <w:t xml:space="preserve"> this will come with a </w:t>
      </w:r>
      <w:r w:rsidR="008910D8">
        <w:t xml:space="preserve">pro-rata </w:t>
      </w:r>
      <w:r w:rsidR="00806580">
        <w:t xml:space="preserve">penalty of between £0 </w:t>
      </w:r>
      <w:r w:rsidR="0052729D">
        <w:t>–</w:t>
      </w:r>
      <w:r w:rsidR="00806580">
        <w:t xml:space="preserve"> </w:t>
      </w:r>
      <w:r w:rsidR="008910D8">
        <w:t>£</w:t>
      </w:r>
      <w:r w:rsidR="0052729D">
        <w:t>21,939</w:t>
      </w:r>
      <w:r w:rsidR="008910D8">
        <w:t>.</w:t>
      </w:r>
      <w:r w:rsidR="00806580">
        <w:t xml:space="preserve"> </w:t>
      </w:r>
    </w:p>
    <w:p w14:paraId="0D3704E4" w14:textId="2D42E41B" w:rsidR="00EF72BA" w:rsidRDefault="00954D19" w:rsidP="00EF72BA">
      <w:r>
        <w:t xml:space="preserve">The Met Office have confirmed that </w:t>
      </w:r>
      <w:r w:rsidR="00071EB1">
        <w:t xml:space="preserve">in their </w:t>
      </w:r>
      <w:r w:rsidR="00267380">
        <w:t>opinion</w:t>
      </w:r>
      <w:r w:rsidR="00071EB1">
        <w:t>,</w:t>
      </w:r>
      <w:r w:rsidR="007548D2">
        <w:t xml:space="preserve"> the </w:t>
      </w:r>
      <w:r w:rsidR="00297CCB">
        <w:t xml:space="preserve">rationale for single tender actions still exists </w:t>
      </w:r>
      <w:r w:rsidR="00C13FF0">
        <w:t>for this service</w:t>
      </w:r>
      <w:r w:rsidR="0018043A">
        <w:t xml:space="preserve">; </w:t>
      </w:r>
      <w:r w:rsidR="00EF72BA">
        <w:t xml:space="preserve">on the basis that: </w:t>
      </w:r>
    </w:p>
    <w:p w14:paraId="72DBA170" w14:textId="5897BE0D" w:rsidR="000B1ADE" w:rsidRDefault="00EF72BA" w:rsidP="00A0395D">
      <w:pPr>
        <w:pStyle w:val="ListParagraph"/>
        <w:numPr>
          <w:ilvl w:val="0"/>
          <w:numId w:val="20"/>
        </w:numPr>
        <w:spacing w:before="120" w:after="120" w:line="240" w:lineRule="auto"/>
        <w:ind w:left="714" w:hanging="357"/>
        <w:contextualSpacing w:val="0"/>
      </w:pPr>
      <w:proofErr w:type="spellStart"/>
      <w:r>
        <w:t xml:space="preserve">Ultra </w:t>
      </w:r>
      <w:r w:rsidR="001841CA">
        <w:t>Energy</w:t>
      </w:r>
      <w:proofErr w:type="spellEnd"/>
      <w:r w:rsidR="001841CA">
        <w:t xml:space="preserve"> Ltd </w:t>
      </w:r>
      <w:r>
        <w:t xml:space="preserve">are the sole suppliers of the current / existing RIMNET monitors, and have the proprietary rights in the product(s). This means they are the only viable supplier of network support and maintenance services. </w:t>
      </w:r>
    </w:p>
    <w:p w14:paraId="44A11E03" w14:textId="7087F8D2" w:rsidR="00EF72BA" w:rsidRDefault="00EF72BA" w:rsidP="00A0395D">
      <w:pPr>
        <w:pStyle w:val="ListParagraph"/>
        <w:numPr>
          <w:ilvl w:val="0"/>
          <w:numId w:val="20"/>
        </w:numPr>
        <w:spacing w:before="120" w:after="120" w:line="240" w:lineRule="auto"/>
        <w:ind w:left="714" w:hanging="357"/>
        <w:contextualSpacing w:val="0"/>
      </w:pPr>
      <w:proofErr w:type="spellStart"/>
      <w:r>
        <w:t xml:space="preserve">Ultra </w:t>
      </w:r>
      <w:r w:rsidR="001841CA">
        <w:t>Energy</w:t>
      </w:r>
      <w:proofErr w:type="spellEnd"/>
      <w:r w:rsidR="001841CA">
        <w:t xml:space="preserve"> Ltd </w:t>
      </w:r>
      <w:r>
        <w:t xml:space="preserve">are unique in that they are one of a few commercial organisations in the UK to own and operate a radiation calibration cell. </w:t>
      </w:r>
    </w:p>
    <w:p w14:paraId="1FBA28B9" w14:textId="7AA92EE4" w:rsidR="00EF72BA" w:rsidRDefault="00EF72BA" w:rsidP="00EF72BA">
      <w:r>
        <w:t xml:space="preserve">As the situation remains </w:t>
      </w:r>
      <w:r w:rsidR="005D2AA0">
        <w:t xml:space="preserve">largely </w:t>
      </w:r>
      <w:r>
        <w:t xml:space="preserve">the same </w:t>
      </w:r>
      <w:r w:rsidR="00267380">
        <w:t>for</w:t>
      </w:r>
      <w:r>
        <w:t xml:space="preserve"> 202</w:t>
      </w:r>
      <w:r w:rsidR="005D2AA0">
        <w:t>1-22,</w:t>
      </w:r>
      <w:r>
        <w:t xml:space="preserve"> the option to Direct Award to ULTRA </w:t>
      </w:r>
      <w:r w:rsidR="00DF0AAB">
        <w:t xml:space="preserve">meets </w:t>
      </w:r>
      <w:r>
        <w:t xml:space="preserve">Regulation 32 of EC Directives 2015- </w:t>
      </w:r>
    </w:p>
    <w:p w14:paraId="43B8FA14" w14:textId="77777777" w:rsidR="00EF72BA" w:rsidRPr="00DF0AAB" w:rsidRDefault="00EF72BA" w:rsidP="00D01D54">
      <w:pPr>
        <w:spacing w:before="120" w:after="120" w:line="240" w:lineRule="auto"/>
        <w:rPr>
          <w:i/>
          <w:iCs/>
        </w:rPr>
      </w:pPr>
      <w:r w:rsidRPr="00DF0AAB">
        <w:rPr>
          <w:i/>
          <w:iCs/>
        </w:rPr>
        <w:t>Use of Negotiation Procedures without Call for Competition on the basis of the works, supplies or services can be supplied only by a particular economic operator for any of the following reasons:—</w:t>
      </w:r>
    </w:p>
    <w:p w14:paraId="07FBE3B0" w14:textId="77777777" w:rsidR="00D01D54" w:rsidRDefault="00EF72BA" w:rsidP="00A0395D">
      <w:pPr>
        <w:pStyle w:val="ListParagraph"/>
        <w:numPr>
          <w:ilvl w:val="0"/>
          <w:numId w:val="21"/>
        </w:numPr>
        <w:spacing w:before="120" w:after="120" w:line="240" w:lineRule="auto"/>
        <w:ind w:left="714" w:hanging="357"/>
        <w:contextualSpacing w:val="0"/>
        <w:rPr>
          <w:i/>
          <w:iCs/>
        </w:rPr>
      </w:pPr>
      <w:r w:rsidRPr="00D01D54">
        <w:rPr>
          <w:i/>
          <w:iCs/>
        </w:rPr>
        <w:t>the aim of the procurement is the creation or acquisition of a unique work of art or</w:t>
      </w:r>
      <w:r w:rsidR="00D01D54">
        <w:rPr>
          <w:i/>
          <w:iCs/>
        </w:rPr>
        <w:t xml:space="preserve"> </w:t>
      </w:r>
      <w:r w:rsidRPr="00D01D54">
        <w:rPr>
          <w:i/>
          <w:iCs/>
        </w:rPr>
        <w:t>artistic performance,</w:t>
      </w:r>
    </w:p>
    <w:p w14:paraId="61D56D70" w14:textId="77777777" w:rsidR="00D01D54" w:rsidRDefault="00EF72BA" w:rsidP="00A0395D">
      <w:pPr>
        <w:pStyle w:val="ListParagraph"/>
        <w:numPr>
          <w:ilvl w:val="0"/>
          <w:numId w:val="21"/>
        </w:numPr>
        <w:spacing w:before="120" w:after="120" w:line="240" w:lineRule="auto"/>
        <w:ind w:left="714" w:hanging="357"/>
        <w:contextualSpacing w:val="0"/>
        <w:rPr>
          <w:i/>
          <w:iCs/>
        </w:rPr>
      </w:pPr>
      <w:r w:rsidRPr="00D01D54">
        <w:rPr>
          <w:i/>
          <w:iCs/>
        </w:rPr>
        <w:t>competition is absent for technical reasons,</w:t>
      </w:r>
    </w:p>
    <w:p w14:paraId="07630D24" w14:textId="40B7AF86" w:rsidR="00EF72BA" w:rsidRPr="00DF0AAB" w:rsidRDefault="00EF72BA" w:rsidP="00A0395D">
      <w:pPr>
        <w:pStyle w:val="ListParagraph"/>
        <w:numPr>
          <w:ilvl w:val="0"/>
          <w:numId w:val="21"/>
        </w:numPr>
        <w:spacing w:before="120" w:after="120" w:line="240" w:lineRule="auto"/>
        <w:ind w:left="714" w:hanging="357"/>
        <w:contextualSpacing w:val="0"/>
        <w:rPr>
          <w:i/>
          <w:iCs/>
        </w:rPr>
      </w:pPr>
      <w:r w:rsidRPr="00DF0AAB">
        <w:rPr>
          <w:i/>
          <w:iCs/>
        </w:rPr>
        <w:lastRenderedPageBreak/>
        <w:t>the protection of exclusive rights, including intellectual property rights,</w:t>
      </w:r>
    </w:p>
    <w:p w14:paraId="5EC864CF" w14:textId="77777777" w:rsidR="00267380" w:rsidRDefault="00267380" w:rsidP="00267380">
      <w:pPr>
        <w:spacing w:before="120" w:after="120" w:line="240" w:lineRule="auto"/>
      </w:pPr>
    </w:p>
    <w:p w14:paraId="7DFBD05A" w14:textId="7F6FB35C" w:rsidR="00EF72BA" w:rsidRDefault="00DF0AAB" w:rsidP="00D01D54">
      <w:pPr>
        <w:spacing w:before="120" w:after="120" w:line="240" w:lineRule="auto"/>
      </w:pPr>
      <w:r>
        <w:t xml:space="preserve">The Met Office </w:t>
      </w:r>
      <w:r w:rsidR="001C07A4">
        <w:t xml:space="preserve">have </w:t>
      </w:r>
      <w:r w:rsidR="00B36906">
        <w:t xml:space="preserve">outlined a series of </w:t>
      </w:r>
      <w:r w:rsidR="00024B9C">
        <w:t>prerequisites for</w:t>
      </w:r>
      <w:r w:rsidR="001C093D">
        <w:t xml:space="preserve"> </w:t>
      </w:r>
      <w:r w:rsidR="00237792">
        <w:t xml:space="preserve">entering into </w:t>
      </w:r>
      <w:r w:rsidR="001C093D">
        <w:t>a further contract extension</w:t>
      </w:r>
      <w:r w:rsidR="00237792">
        <w:t xml:space="preserve"> with Ultra Energy Ltd</w:t>
      </w:r>
      <w:r w:rsidR="001C093D">
        <w:t>:</w:t>
      </w:r>
    </w:p>
    <w:p w14:paraId="6E9CB7C6" w14:textId="7D63A030" w:rsidR="00034A01" w:rsidRPr="00034A01" w:rsidRDefault="0033293B" w:rsidP="006016C2">
      <w:pPr>
        <w:pStyle w:val="ListParagraph"/>
        <w:numPr>
          <w:ilvl w:val="0"/>
          <w:numId w:val="23"/>
        </w:numPr>
        <w:spacing w:before="120" w:after="120" w:line="240" w:lineRule="auto"/>
        <w:ind w:left="714" w:hanging="357"/>
        <w:contextualSpacing w:val="0"/>
      </w:pPr>
      <w:r>
        <w:t>The scope of the requirement does not change.</w:t>
      </w:r>
    </w:p>
    <w:p w14:paraId="10AE2B00" w14:textId="4F0ACFBA" w:rsidR="00EF72BA" w:rsidRPr="0053598C" w:rsidRDefault="00642A26" w:rsidP="006016C2">
      <w:pPr>
        <w:pStyle w:val="ListParagraph"/>
        <w:numPr>
          <w:ilvl w:val="0"/>
          <w:numId w:val="23"/>
        </w:numPr>
        <w:spacing w:before="120" w:after="120" w:line="240" w:lineRule="auto"/>
        <w:ind w:left="714" w:hanging="357"/>
        <w:contextualSpacing w:val="0"/>
      </w:pPr>
      <w:r>
        <w:t xml:space="preserve">BEIS can give a </w:t>
      </w:r>
      <w:r w:rsidR="006A2B18">
        <w:t>clear, realistic date</w:t>
      </w:r>
      <w:r w:rsidR="00EF72BA">
        <w:t xml:space="preserve"> for </w:t>
      </w:r>
      <w:r w:rsidR="00270F08">
        <w:t xml:space="preserve">the </w:t>
      </w:r>
      <w:r w:rsidR="008C667B">
        <w:t>procurement</w:t>
      </w:r>
      <w:r w:rsidR="00EF72BA">
        <w:t xml:space="preserve"> </w:t>
      </w:r>
      <w:r w:rsidR="00270F08">
        <w:t>of</w:t>
      </w:r>
      <w:r w:rsidR="00EF72BA">
        <w:t xml:space="preserve"> </w:t>
      </w:r>
      <w:r w:rsidR="006016C2">
        <w:t>the new monitoring</w:t>
      </w:r>
      <w:r w:rsidR="00EF72BA">
        <w:t xml:space="preserve"> network </w:t>
      </w:r>
      <w:r w:rsidR="006016C2">
        <w:t>requirement (as defined in the Options paper [Ref])</w:t>
      </w:r>
    </w:p>
    <w:p w14:paraId="1CF913A7" w14:textId="12247FF9" w:rsidR="0033141B" w:rsidRPr="0083752D" w:rsidRDefault="0033141B" w:rsidP="003510B0">
      <w:pPr>
        <w:pStyle w:val="Heading4"/>
      </w:pPr>
      <w:r w:rsidRPr="0083752D">
        <w:t>Project Delivery</w:t>
      </w:r>
    </w:p>
    <w:p w14:paraId="7E8648F4" w14:textId="71473DC0" w:rsidR="00204492" w:rsidRDefault="003639A8" w:rsidP="0033141B">
      <w:r>
        <w:t>Differ</w:t>
      </w:r>
      <w:r w:rsidR="00204492">
        <w:t>ent resourcing will be required depending upon the option chose –</w:t>
      </w:r>
    </w:p>
    <w:p w14:paraId="268F141F" w14:textId="777C3E00" w:rsidR="00204492" w:rsidRDefault="00204492" w:rsidP="0033141B">
      <w:r>
        <w:t xml:space="preserve">Option </w:t>
      </w:r>
      <w:r w:rsidR="00FA19BC">
        <w:t>1</w:t>
      </w:r>
      <w:r w:rsidR="000F24DD">
        <w:t xml:space="preserve"> –</w:t>
      </w:r>
    </w:p>
    <w:p w14:paraId="134F3D9E" w14:textId="3C2DCB33" w:rsidR="000F24DD" w:rsidRDefault="00A74928" w:rsidP="000F24DD">
      <w:pPr>
        <w:pStyle w:val="ListParagraph"/>
        <w:numPr>
          <w:ilvl w:val="0"/>
          <w:numId w:val="24"/>
        </w:numPr>
      </w:pPr>
      <w:bookmarkStart w:id="25" w:name="_Hlk58423843"/>
      <w:r>
        <w:t xml:space="preserve">BEIS </w:t>
      </w:r>
      <w:r w:rsidR="001625FE">
        <w:t>Procurement and Commercial support</w:t>
      </w:r>
      <w:r w:rsidR="00EF5513">
        <w:t xml:space="preserve"> to prepare </w:t>
      </w:r>
      <w:r w:rsidR="00E107FE">
        <w:t>tender details and to manage competi</w:t>
      </w:r>
      <w:r w:rsidR="00B4129A">
        <w:t>tive process.</w:t>
      </w:r>
    </w:p>
    <w:bookmarkEnd w:id="25"/>
    <w:p w14:paraId="73B293C0" w14:textId="6F97095F" w:rsidR="00B4129A" w:rsidRDefault="002B50DA" w:rsidP="00C70BC3">
      <w:pPr>
        <w:pStyle w:val="ListParagraph"/>
        <w:numPr>
          <w:ilvl w:val="0"/>
          <w:numId w:val="24"/>
        </w:numPr>
      </w:pPr>
      <w:r w:rsidRPr="002B50DA">
        <w:t xml:space="preserve">BEIS </w:t>
      </w:r>
      <w:r w:rsidR="00546297">
        <w:t xml:space="preserve">Project Management resource </w:t>
      </w:r>
      <w:r w:rsidR="005A4925">
        <w:t>for implementation or</w:t>
      </w:r>
      <w:r w:rsidRPr="002B50DA">
        <w:t xml:space="preserve"> </w:t>
      </w:r>
      <w:r w:rsidR="003C22F0">
        <w:t>(</w:t>
      </w:r>
      <w:r w:rsidR="00284252">
        <w:t xml:space="preserve">subject to agreement) </w:t>
      </w:r>
      <w:r w:rsidR="00F92316">
        <w:t xml:space="preserve">this </w:t>
      </w:r>
      <w:r w:rsidR="00284252">
        <w:t>responsibility</w:t>
      </w:r>
      <w:r w:rsidRPr="002B50DA">
        <w:t xml:space="preserve"> </w:t>
      </w:r>
      <w:r w:rsidR="00F92316">
        <w:t xml:space="preserve">could be </w:t>
      </w:r>
      <w:r w:rsidRPr="002B50DA">
        <w:t>delegate</w:t>
      </w:r>
      <w:r w:rsidR="00F92316">
        <w:t>d</w:t>
      </w:r>
      <w:r w:rsidRPr="002B50DA">
        <w:t xml:space="preserve"> to the Met Office</w:t>
      </w:r>
      <w:r w:rsidR="007445A7">
        <w:t>.</w:t>
      </w:r>
      <w:r w:rsidRPr="002B50DA">
        <w:t xml:space="preserve"> The current MoU could be adjusted to include the broader responsibilities</w:t>
      </w:r>
      <w:r w:rsidR="00F36A33">
        <w:t>. This responsibility would be handed back to BEIS when RIMNET is decommissioned.</w:t>
      </w:r>
    </w:p>
    <w:p w14:paraId="14A342E9" w14:textId="77777777" w:rsidR="000B5115" w:rsidRDefault="000B5115" w:rsidP="00B15D8E"/>
    <w:p w14:paraId="24707A81" w14:textId="0408182D" w:rsidR="00FA19BC" w:rsidRDefault="00FA19BC" w:rsidP="00B15D8E">
      <w:r>
        <w:t xml:space="preserve">Option 2 – </w:t>
      </w:r>
    </w:p>
    <w:p w14:paraId="401C43C9" w14:textId="77777777" w:rsidR="00FA19BC" w:rsidRDefault="00FA19BC" w:rsidP="00FA19BC">
      <w:pPr>
        <w:pStyle w:val="ListParagraph"/>
        <w:numPr>
          <w:ilvl w:val="0"/>
          <w:numId w:val="24"/>
        </w:numPr>
      </w:pPr>
      <w:r>
        <w:t>BEIS Procurement and Commercial support to prepare tender details and to manage competitive process.</w:t>
      </w:r>
    </w:p>
    <w:p w14:paraId="7706671A" w14:textId="005D097F" w:rsidR="00AF5E26" w:rsidRDefault="00852EE5" w:rsidP="00FA19BC">
      <w:pPr>
        <w:pStyle w:val="ListParagraph"/>
        <w:numPr>
          <w:ilvl w:val="0"/>
          <w:numId w:val="24"/>
        </w:numPr>
      </w:pPr>
      <w:r>
        <w:t>??</w:t>
      </w:r>
    </w:p>
    <w:p w14:paraId="6D4B3A23" w14:textId="77777777" w:rsidR="00FA19BC" w:rsidRDefault="00FA19BC" w:rsidP="00B15D8E"/>
    <w:p w14:paraId="1B9D3A7E" w14:textId="57D83B47" w:rsidR="00AF5E26" w:rsidRDefault="00AF5E26" w:rsidP="00B15D8E">
      <w:r>
        <w:t>Option 3 –</w:t>
      </w:r>
    </w:p>
    <w:p w14:paraId="618AF703" w14:textId="77777777" w:rsidR="00AF5E26" w:rsidRDefault="00AF5E26" w:rsidP="00AF5E26">
      <w:pPr>
        <w:pStyle w:val="ListParagraph"/>
        <w:numPr>
          <w:ilvl w:val="0"/>
          <w:numId w:val="24"/>
        </w:numPr>
      </w:pPr>
      <w:r w:rsidRPr="00AF5E26">
        <w:t>BEIS Procurement and Commercial support to prepare tender details and to manage competitive process.</w:t>
      </w:r>
    </w:p>
    <w:p w14:paraId="3F204A3F" w14:textId="5ABC698F" w:rsidR="002033D4" w:rsidRDefault="000F22D9" w:rsidP="000F22D9">
      <w:pPr>
        <w:pStyle w:val="ListParagraph"/>
        <w:numPr>
          <w:ilvl w:val="0"/>
          <w:numId w:val="24"/>
        </w:numPr>
      </w:pPr>
      <w:r>
        <w:t xml:space="preserve">?? </w:t>
      </w:r>
      <w:r w:rsidR="002033D4">
        <w:t>Recommendations</w:t>
      </w:r>
    </w:p>
    <w:p w14:paraId="0B566F44" w14:textId="14418FBF" w:rsidR="00497C2B" w:rsidRDefault="00A07D59" w:rsidP="00A07D59">
      <w:pPr>
        <w:pStyle w:val="Heading1"/>
      </w:pPr>
      <w:bookmarkStart w:id="26" w:name="_Toc58423963"/>
      <w:r>
        <w:lastRenderedPageBreak/>
        <w:t>Appendices</w:t>
      </w:r>
      <w:bookmarkEnd w:id="26"/>
    </w:p>
    <w:p w14:paraId="372D6370" w14:textId="0AE054F0" w:rsidR="00644996" w:rsidRDefault="00DA4EA8" w:rsidP="00DA4EA8">
      <w:pPr>
        <w:pStyle w:val="Heading1"/>
      </w:pPr>
      <w:bookmarkStart w:id="27" w:name="_Toc58423964"/>
      <w:r w:rsidRPr="007E42A5">
        <w:rPr>
          <w:highlight w:val="lightGray"/>
        </w:rPr>
        <w:lastRenderedPageBreak/>
        <w:t>References</w:t>
      </w:r>
      <w:bookmarkEnd w:id="27"/>
    </w:p>
    <w:p w14:paraId="07AD0D52" w14:textId="6AC92788" w:rsidR="008468BE" w:rsidRPr="000C4D30" w:rsidRDefault="008468BE" w:rsidP="00A437E0">
      <w:pPr>
        <w:rPr>
          <w:sz w:val="18"/>
          <w:szCs w:val="18"/>
        </w:rPr>
        <w:sectPr w:rsidR="008468BE" w:rsidRPr="000C4D30" w:rsidSect="00DA4EA8">
          <w:footnotePr>
            <w:numFmt w:val="lowerRoman"/>
          </w:footnotePr>
          <w:endnotePr>
            <w:numFmt w:val="decimal"/>
          </w:endnotePr>
          <w:pgSz w:w="11906" w:h="16838" w:code="9"/>
          <w:pgMar w:top="1701" w:right="1134" w:bottom="1134" w:left="1134" w:header="437" w:footer="266" w:gutter="0"/>
          <w:cols w:space="720"/>
          <w:titlePg/>
          <w:docGrid w:linePitch="326"/>
        </w:sectPr>
      </w:pPr>
    </w:p>
    <w:p w14:paraId="5B272226" w14:textId="7A00B1AC" w:rsidR="00A437E0" w:rsidRPr="00A437E0" w:rsidRDefault="00A437E0" w:rsidP="00A437E0"/>
    <w:p w14:paraId="37C372D6" w14:textId="77777777" w:rsidR="004256BC" w:rsidRPr="0009521D" w:rsidRDefault="004256BC" w:rsidP="004256BC">
      <w:pPr>
        <w:pStyle w:val="EndpageText"/>
      </w:pPr>
      <w:r w:rsidRPr="0009521D">
        <w:rPr>
          <w:noProof/>
          <w:color w:val="2B579A"/>
          <w:shd w:val="clear" w:color="auto" w:fill="E6E6E6"/>
          <w:lang w:eastAsia="en-GB"/>
        </w:rPr>
        <w:drawing>
          <wp:anchor distT="0" distB="0" distL="114300" distR="114300" simplePos="0" relativeHeight="251658240" behindDoc="0" locked="0" layoutInCell="1" allowOverlap="1" wp14:anchorId="46AF0F6F" wp14:editId="44EFF588">
            <wp:simplePos x="0" y="0"/>
            <wp:positionH relativeFrom="column">
              <wp:posOffset>-6985</wp:posOffset>
            </wp:positionH>
            <wp:positionV relativeFrom="paragraph">
              <wp:posOffset>-465455</wp:posOffset>
            </wp:positionV>
            <wp:extent cx="791845" cy="320040"/>
            <wp:effectExtent l="0" t="0" r="8255" b="3810"/>
            <wp:wrapSquare wrapText="bothSides"/>
            <wp:docPr id="30" name="Picture 30" descr="Open Government Licenc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staff\rwdd\OGL_Logo.pn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791845" cy="320040"/>
                    </a:xfrm>
                    <a:prstGeom prst="rect">
                      <a:avLst/>
                    </a:prstGeom>
                    <a:noFill/>
                    <a:ln>
                      <a:noFill/>
                    </a:ln>
                  </pic:spPr>
                </pic:pic>
              </a:graphicData>
            </a:graphic>
          </wp:anchor>
        </w:drawing>
      </w:r>
      <w:r w:rsidRPr="0009521D">
        <w:t>© Crown copyright 201</w:t>
      </w:r>
      <w:r w:rsidR="00F66ECA">
        <w:t>7</w:t>
      </w:r>
    </w:p>
    <w:p w14:paraId="60195E32" w14:textId="77777777" w:rsidR="004256BC" w:rsidRPr="00F66ECA" w:rsidRDefault="004256BC" w:rsidP="004256BC">
      <w:pPr>
        <w:pStyle w:val="EndpageText"/>
        <w:rPr>
          <w:rFonts w:cs="Arial"/>
          <w:szCs w:val="20"/>
        </w:rPr>
      </w:pPr>
      <w:r w:rsidRPr="0031038D">
        <w:rPr>
          <w:szCs w:val="20"/>
        </w:rPr>
        <w:t>This publication is licensed under the terms of the Open Government Licence v3.0 except where otherwise stated. To view this licence, visit </w:t>
      </w:r>
      <w:hyperlink r:id="rId27" w:history="1">
        <w:r w:rsidRPr="00F66ECA">
          <w:rPr>
            <w:rStyle w:val="Hyperlink"/>
            <w:rFonts w:ascii="Arial" w:hAnsi="Arial" w:cs="Arial"/>
            <w:sz w:val="20"/>
            <w:szCs w:val="20"/>
          </w:rPr>
          <w:t>nationalarchives.gov.uk/doc/open-government-licence/version/3</w:t>
        </w:r>
      </w:hyperlink>
      <w:r w:rsidRPr="00F66ECA">
        <w:rPr>
          <w:rFonts w:cs="Arial"/>
          <w:szCs w:val="20"/>
        </w:rPr>
        <w:t> or write to the Information Policy Team, The National Archives, Kew, London TW9 4DU, or email: </w:t>
      </w:r>
      <w:hyperlink r:id="rId28" w:history="1">
        <w:r w:rsidRPr="00F66ECA">
          <w:rPr>
            <w:rStyle w:val="Hyperlink"/>
            <w:rFonts w:ascii="Arial" w:hAnsi="Arial" w:cs="Arial"/>
            <w:sz w:val="20"/>
            <w:szCs w:val="20"/>
          </w:rPr>
          <w:t>psi@nationalarchives.gsi.gov.uk</w:t>
        </w:r>
      </w:hyperlink>
      <w:r w:rsidRPr="00F66ECA">
        <w:rPr>
          <w:rFonts w:cs="Arial"/>
          <w:szCs w:val="20"/>
        </w:rPr>
        <w:t>.Where we have identified any third party copyright information you will need to obtain permission from the copyright holders concerned.</w:t>
      </w:r>
    </w:p>
    <w:p w14:paraId="483F97EE" w14:textId="77777777" w:rsidR="004256BC" w:rsidRDefault="004256BC" w:rsidP="004256BC">
      <w:pPr>
        <w:pStyle w:val="EndpageText"/>
        <w:rPr>
          <w:szCs w:val="20"/>
        </w:rPr>
      </w:pPr>
      <w:r w:rsidRPr="00DB3212">
        <w:rPr>
          <w:szCs w:val="20"/>
        </w:rPr>
        <w:t xml:space="preserve">This publication available from </w:t>
      </w:r>
      <w:hyperlink r:id="rId29" w:history="1">
        <w:r w:rsidRPr="00F66ECA">
          <w:rPr>
            <w:rStyle w:val="Hyperlink"/>
            <w:rFonts w:ascii="Arial" w:hAnsi="Arial" w:cs="Arial"/>
            <w:sz w:val="20"/>
            <w:szCs w:val="20"/>
          </w:rPr>
          <w:t>www.gov.uk/beis</w:t>
        </w:r>
      </w:hyperlink>
      <w:r w:rsidRPr="00F66ECA">
        <w:rPr>
          <w:rFonts w:cs="Arial"/>
          <w:szCs w:val="20"/>
        </w:rPr>
        <w:t xml:space="preserve"> </w:t>
      </w:r>
    </w:p>
    <w:p w14:paraId="4AB4514A" w14:textId="77777777" w:rsidR="004256BC" w:rsidRPr="00DB3212" w:rsidRDefault="00F66ECA" w:rsidP="004256BC">
      <w:pPr>
        <w:pStyle w:val="EndpageText"/>
        <w:rPr>
          <w:szCs w:val="20"/>
        </w:rPr>
      </w:pPr>
      <w:r>
        <w:rPr>
          <w:szCs w:val="20"/>
        </w:rPr>
        <w:t>Contact</w:t>
      </w:r>
      <w:r w:rsidR="004256BC" w:rsidRPr="00DB3212">
        <w:rPr>
          <w:szCs w:val="20"/>
        </w:rPr>
        <w:t xml:space="preserve"> us if you have any enquiries about this publication, including requests for alternative formats</w:t>
      </w:r>
      <w:r w:rsidR="004256BC">
        <w:rPr>
          <w:szCs w:val="20"/>
        </w:rPr>
        <w:t>,</w:t>
      </w:r>
      <w:r w:rsidR="004256BC" w:rsidRPr="00DB3212">
        <w:rPr>
          <w:szCs w:val="20"/>
        </w:rPr>
        <w:t xml:space="preserve"> at:</w:t>
      </w:r>
    </w:p>
    <w:p w14:paraId="029F56D5" w14:textId="77777777" w:rsidR="004256BC" w:rsidRDefault="004256BC" w:rsidP="004256BC">
      <w:pPr>
        <w:pStyle w:val="EndpageText"/>
        <w:rPr>
          <w:szCs w:val="20"/>
        </w:rPr>
      </w:pPr>
      <w:r w:rsidRPr="00E90F61">
        <w:t>Department for Business, Energy and Industrial Strategy</w:t>
      </w:r>
      <w:r>
        <w:rPr>
          <w:szCs w:val="20"/>
        </w:rPr>
        <w:br/>
      </w:r>
      <w:r w:rsidRPr="00DB3212">
        <w:rPr>
          <w:szCs w:val="20"/>
        </w:rPr>
        <w:t>1 Victoria Street</w:t>
      </w:r>
      <w:r>
        <w:rPr>
          <w:szCs w:val="20"/>
        </w:rPr>
        <w:br/>
      </w:r>
      <w:r w:rsidRPr="00DB3212">
        <w:rPr>
          <w:szCs w:val="20"/>
        </w:rPr>
        <w:t>London SW1H 0ET</w:t>
      </w:r>
      <w:r>
        <w:rPr>
          <w:szCs w:val="20"/>
        </w:rPr>
        <w:br/>
      </w:r>
      <w:r w:rsidRPr="00DB3212">
        <w:rPr>
          <w:szCs w:val="20"/>
        </w:rPr>
        <w:t>Tel: 020 7215 5000</w:t>
      </w:r>
    </w:p>
    <w:sectPr w:rsidR="004256BC" w:rsidSect="00EE5656">
      <w:headerReference w:type="first" r:id="rId30"/>
      <w:footerReference w:type="first" r:id="rId31"/>
      <w:footnotePr>
        <w:numFmt w:val="lowerRoman"/>
      </w:footnotePr>
      <w:endnotePr>
        <w:numFmt w:val="decimal"/>
      </w:endnotePr>
      <w:pgSz w:w="11906" w:h="16838" w:code="9"/>
      <w:pgMar w:top="11340" w:right="680" w:bottom="680" w:left="964" w:header="437" w:footer="267"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 w:author="William Watson" w:date="2020-12-09T16:46:00Z" w:initials="WW(N&amp;R">
    <w:p w14:paraId="717CCCD0" w14:textId="4144D9B8" w:rsidR="005300DA" w:rsidRDefault="005300DA">
      <w:pPr>
        <w:pStyle w:val="CommentText"/>
      </w:pPr>
      <w:r>
        <w:rPr>
          <w:rStyle w:val="CommentReference"/>
        </w:rPr>
        <w:annotationRef/>
      </w:r>
      <w:r>
        <w:t>Mat – competition type e.g. OJEU</w:t>
      </w:r>
      <w:r w:rsidR="00F1648D">
        <w:t>? Also</w:t>
      </w:r>
      <w:r w:rsidR="00B27B86">
        <w:t xml:space="preserve"> may wish to fl</w:t>
      </w:r>
      <w:r w:rsidR="00104EE6">
        <w:t>ag their role pre-2014 but I don’t have information on this.</w:t>
      </w:r>
    </w:p>
  </w:comment>
  <w:comment w:id="10" w:author="William Watson" w:date="2020-12-09T16:48:00Z" w:initials="WW(N&amp;R">
    <w:p w14:paraId="2B4ADB7F" w14:textId="4CF1CCDF" w:rsidR="0013125E" w:rsidRDefault="0013125E">
      <w:pPr>
        <w:pStyle w:val="CommentText"/>
      </w:pPr>
      <w:r>
        <w:rPr>
          <w:rStyle w:val="CommentReference"/>
        </w:rPr>
        <w:annotationRef/>
      </w:r>
      <w:r>
        <w:t xml:space="preserve">Mat </w:t>
      </w:r>
      <w:r w:rsidR="003F0B4B">
        <w:t>–</w:t>
      </w:r>
      <w:r>
        <w:t xml:space="preserve"> </w:t>
      </w:r>
      <w:r w:rsidR="003F0B4B">
        <w:t>please confirm MO approval route</w:t>
      </w:r>
    </w:p>
  </w:comment>
  <w:comment w:id="14" w:author="William Watson" w:date="2020-12-09T16:43:00Z" w:initials="WW(N&amp;R">
    <w:p w14:paraId="78302842" w14:textId="65BD68D0" w:rsidR="00E81E29" w:rsidRDefault="00E81E29">
      <w:pPr>
        <w:pStyle w:val="CommentText"/>
      </w:pPr>
      <w:r>
        <w:rPr>
          <w:rStyle w:val="CommentReference"/>
        </w:rPr>
        <w:annotationRef/>
      </w:r>
      <w:r w:rsidR="007F6538">
        <w:t xml:space="preserve">Mat </w:t>
      </w:r>
      <w:r w:rsidR="008933D1">
        <w:t>–</w:t>
      </w:r>
      <w:r w:rsidR="007F6538">
        <w:t xml:space="preserve"> </w:t>
      </w:r>
      <w:r w:rsidR="008933D1">
        <w:t xml:space="preserve">I thought lead time for CGI was longer than </w:t>
      </w:r>
      <w:r w:rsidR="00002FCD">
        <w:t>4 months, possibly 6?</w:t>
      </w:r>
      <w:r>
        <w:t xml:space="preserve"> </w:t>
      </w:r>
    </w:p>
  </w:comment>
  <w:comment w:id="15" w:author="William Watson [2]" w:date="2020-12-10T09:13:00Z" w:initials="WW(N&amp;R">
    <w:p w14:paraId="484D0E15" w14:textId="71E2C103" w:rsidR="00D239EB" w:rsidRDefault="00D239EB">
      <w:pPr>
        <w:pStyle w:val="CommentText"/>
      </w:pPr>
      <w:r>
        <w:rPr>
          <w:rStyle w:val="CommentReference"/>
        </w:rPr>
        <w:annotationRef/>
      </w:r>
      <w:r>
        <w:t>Move to different section</w:t>
      </w:r>
    </w:p>
  </w:comment>
  <w:comment w:id="17" w:author="William Watson" w:date="2020-12-09T18:14:00Z" w:initials="WW(N&amp;R">
    <w:p w14:paraId="1EE56049" w14:textId="3A6FC1AE" w:rsidR="00662B4B" w:rsidRDefault="00662B4B">
      <w:pPr>
        <w:pStyle w:val="CommentText"/>
      </w:pPr>
      <w:r>
        <w:rPr>
          <w:rStyle w:val="CommentReference"/>
        </w:rPr>
        <w:annotationRef/>
      </w:r>
      <w:r>
        <w:t xml:space="preserve">Mat </w:t>
      </w:r>
      <w:r w:rsidR="004C6656">
        <w:t>–</w:t>
      </w:r>
      <w:r>
        <w:t xml:space="preserve"> </w:t>
      </w:r>
      <w:r w:rsidR="004C6656">
        <w:t>is there scope within the existing agreement to make such a radical change</w:t>
      </w:r>
      <w:r w:rsidR="00D80D26">
        <w:t>?</w:t>
      </w:r>
      <w:r w:rsidR="00B43ACD">
        <w:t xml:space="preserve"> Also, </w:t>
      </w:r>
      <w:r w:rsidR="008D1D2A">
        <w:t xml:space="preserve">I’m not sure how Ultra are paid but wouldn’t we then be paying </w:t>
      </w:r>
      <w:r w:rsidR="004D6FE6">
        <w:t>the</w:t>
      </w:r>
      <w:r w:rsidR="00D11F3A">
        <w:t xml:space="preserve">m the same for doing less </w:t>
      </w:r>
      <w:r w:rsidR="005A3743">
        <w:t>if we commissioned this option?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17CCCD0" w15:done="0"/>
  <w15:commentEx w15:paraId="2B4ADB7F" w15:done="0"/>
  <w15:commentEx w15:paraId="78302842" w15:done="0"/>
  <w15:commentEx w15:paraId="484D0E15" w15:done="0"/>
  <w15:commentEx w15:paraId="1EE5604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7B7DD7" w16cex:dateUtc="2020-12-09T16:46:00Z"/>
  <w16cex:commentExtensible w16cex:durableId="237B7E77" w16cex:dateUtc="2020-12-09T16:48:00Z"/>
  <w16cex:commentExtensible w16cex:durableId="237B7D42" w16cex:dateUtc="2020-12-09T16:43:00Z"/>
  <w16cex:commentExtensible w16cex:durableId="237C653B" w16cex:dateUtc="2020-12-10T09:13:00Z"/>
  <w16cex:commentExtensible w16cex:durableId="237B9274" w16cex:dateUtc="2020-12-09T18: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17CCCD0" w16cid:durableId="237B7DD7"/>
  <w16cid:commentId w16cid:paraId="2B4ADB7F" w16cid:durableId="237B7E77"/>
  <w16cid:commentId w16cid:paraId="78302842" w16cid:durableId="237B7D42"/>
  <w16cid:commentId w16cid:paraId="484D0E15" w16cid:durableId="237C653B"/>
  <w16cid:commentId w16cid:paraId="1EE56049" w16cid:durableId="237B927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5FB1F2" w14:textId="77777777" w:rsidR="003259BF" w:rsidRDefault="003259BF" w:rsidP="00E34302">
      <w:pPr>
        <w:spacing w:line="14" w:lineRule="auto"/>
      </w:pPr>
    </w:p>
    <w:p w14:paraId="453A7ED5" w14:textId="77777777" w:rsidR="003259BF" w:rsidRDefault="003259BF"/>
  </w:endnote>
  <w:endnote w:type="continuationSeparator" w:id="0">
    <w:p w14:paraId="2E3B95FB" w14:textId="77777777" w:rsidR="003259BF" w:rsidRDefault="003259BF"/>
    <w:p w14:paraId="3EF579C1" w14:textId="77777777" w:rsidR="003259BF" w:rsidRDefault="003259BF"/>
  </w:endnote>
  <w:endnote w:type="continuationNotice" w:id="1">
    <w:p w14:paraId="19403BC2" w14:textId="77777777" w:rsidR="003259BF" w:rsidRDefault="003259BF">
      <w:pPr>
        <w:spacing w:after="0" w:line="240" w:lineRule="auto"/>
      </w:pPr>
    </w:p>
  </w:endnote>
  <w:endnote w:id="2">
    <w:p w14:paraId="2F187E11" w14:textId="77777777" w:rsidR="00436B94" w:rsidRPr="007D5ABC" w:rsidRDefault="00436B94" w:rsidP="00436B94">
      <w:pPr>
        <w:pStyle w:val="EndnoteText"/>
        <w:suppressLineNumbers/>
        <w:rPr>
          <w:rFonts w:ascii="Arial" w:hAnsi="Arial" w:cs="Arial"/>
          <w:sz w:val="24"/>
          <w:szCs w:val="24"/>
        </w:rPr>
      </w:pPr>
      <w:r w:rsidRPr="007D5ABC">
        <w:rPr>
          <w:rFonts w:ascii="Arial" w:hAnsi="Arial" w:cs="Arial"/>
          <w:sz w:val="24"/>
          <w:szCs w:val="24"/>
        </w:rPr>
        <w:t>[</w:t>
      </w:r>
      <w:r w:rsidRPr="007D5ABC">
        <w:rPr>
          <w:rStyle w:val="EndnoteReference"/>
          <w:rFonts w:ascii="Arial" w:hAnsi="Arial" w:cs="Arial"/>
          <w:sz w:val="24"/>
          <w:szCs w:val="24"/>
          <w:vertAlign w:val="baseline"/>
        </w:rPr>
        <w:endnoteRef/>
      </w:r>
      <w:r w:rsidRPr="007D5ABC">
        <w:rPr>
          <w:rFonts w:ascii="Arial" w:hAnsi="Arial" w:cs="Arial"/>
          <w:sz w:val="24"/>
          <w:szCs w:val="24"/>
        </w:rPr>
        <w:t xml:space="preserve">] </w:t>
      </w:r>
      <w:r w:rsidRPr="002022C7">
        <w:rPr>
          <w:rFonts w:ascii="Arial" w:hAnsi="Arial" w:cs="Arial"/>
          <w:i/>
          <w:iCs/>
          <w:sz w:val="24"/>
          <w:szCs w:val="24"/>
        </w:rPr>
        <w:t>‘Specification for the ZP1221/01 Geiger Muller tube’</w:t>
      </w:r>
      <w:r w:rsidRPr="007D5ABC">
        <w:rPr>
          <w:rFonts w:ascii="Arial" w:hAnsi="Arial" w:cs="Arial"/>
          <w:sz w:val="24"/>
          <w:szCs w:val="24"/>
        </w:rPr>
        <w:t xml:space="preserve">, </w:t>
      </w:r>
      <w:r>
        <w:rPr>
          <w:rFonts w:ascii="Arial" w:hAnsi="Arial" w:cs="Arial"/>
          <w:sz w:val="24"/>
          <w:szCs w:val="24"/>
        </w:rPr>
        <w:t xml:space="preserve">22 March 2012, </w:t>
      </w:r>
      <w:hyperlink r:id="rId1" w:history="1">
        <w:r w:rsidRPr="006F70D8">
          <w:rPr>
            <w:rStyle w:val="Hyperlink"/>
            <w:rFonts w:ascii="Arial" w:hAnsi="Arial" w:cs="Arial"/>
            <w:szCs w:val="24"/>
          </w:rPr>
          <w:t>https://www.gov.uk/government/publications/specification-for-the-zp1221-01-geiger-muller-tube--2</w:t>
        </w:r>
      </w:hyperlink>
      <w:r>
        <w:rPr>
          <w:rFonts w:ascii="Arial" w:hAnsi="Arial" w:cs="Arial"/>
          <w:sz w:val="24"/>
          <w:szCs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Helvetica Neue">
    <w:altName w:val="Arial"/>
    <w:charset w:val="00"/>
    <w:family w:val="auto"/>
    <w:pitch w:val="variable"/>
    <w:sig w:usb0="80000067"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19EF34" w14:textId="77777777" w:rsidR="00283FBA" w:rsidRDefault="00283F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E7A3D5" w14:textId="77777777" w:rsidR="00283FBA" w:rsidRPr="00291DB3" w:rsidRDefault="00283FBA" w:rsidP="00291DB3">
    <w:pPr>
      <w:pStyle w:val="Footer"/>
      <w:jc w:val="right"/>
      <w:rPr>
        <w:rStyle w:val="PageNumber"/>
      </w:rPr>
    </w:pPr>
    <w:r w:rsidRPr="00291DB3">
      <w:rPr>
        <w:rStyle w:val="PageNumber"/>
      </w:rPr>
      <w:fldChar w:fldCharType="begin"/>
    </w:r>
    <w:r w:rsidRPr="00291DB3">
      <w:rPr>
        <w:rStyle w:val="PageNumber"/>
      </w:rPr>
      <w:instrText xml:space="preserve"> PAGE   \* MERGEFORMAT </w:instrText>
    </w:r>
    <w:r w:rsidRPr="00291DB3">
      <w:rPr>
        <w:rStyle w:val="PageNumber"/>
      </w:rPr>
      <w:fldChar w:fldCharType="separate"/>
    </w:r>
    <w:r>
      <w:rPr>
        <w:rStyle w:val="PageNumber"/>
        <w:noProof/>
      </w:rPr>
      <w:t>5</w:t>
    </w:r>
    <w:r w:rsidRPr="00291DB3">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169A1A" w14:textId="77777777" w:rsidR="00283FBA" w:rsidRDefault="00283FB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FAA4C" w14:textId="77777777" w:rsidR="00283FBA" w:rsidRPr="00FC3779" w:rsidRDefault="00283FBA" w:rsidP="00EE5656">
    <w:pPr>
      <w:rPr>
        <w:rStyle w:val="Page1White"/>
        <w:rFonts w:ascii="Times New Roman" w:hAnsi="Times New Roman"/>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AA2478" w14:textId="77777777" w:rsidR="003259BF" w:rsidRPr="00FD7E96" w:rsidRDefault="003259BF" w:rsidP="004A4D89">
      <w:pPr>
        <w:pBdr>
          <w:top w:val="single" w:sz="12" w:space="1" w:color="00447C" w:themeColor="text1"/>
        </w:pBdr>
        <w:spacing w:after="0" w:line="240" w:lineRule="auto"/>
        <w:rPr>
          <w:color w:val="FFFFFF" w:themeColor="background1"/>
        </w:rPr>
      </w:pPr>
    </w:p>
  </w:footnote>
  <w:footnote w:type="continuationSeparator" w:id="0">
    <w:p w14:paraId="23B75D65" w14:textId="77777777" w:rsidR="003259BF" w:rsidRPr="00CD7CDC" w:rsidRDefault="003259BF" w:rsidP="004A4D89">
      <w:pPr>
        <w:pBdr>
          <w:top w:val="single" w:sz="12" w:space="1" w:color="00447C" w:themeColor="text1"/>
        </w:pBdr>
        <w:spacing w:after="0" w:line="240" w:lineRule="auto"/>
        <w:rPr>
          <w:color w:val="FFFFFF" w:themeColor="background1"/>
        </w:rPr>
      </w:pPr>
      <w:r w:rsidRPr="00CD7CDC">
        <w:rPr>
          <w:color w:val="FFFFFF" w:themeColor="background1"/>
        </w:rPr>
        <w:continuationSeparator/>
      </w:r>
    </w:p>
  </w:footnote>
  <w:footnote w:type="continuationNotice" w:id="1">
    <w:p w14:paraId="6743DBDF" w14:textId="77777777" w:rsidR="003259BF" w:rsidRDefault="003259BF"/>
  </w:footnote>
  <w:footnote w:id="2">
    <w:p w14:paraId="0CA5FFED" w14:textId="77777777" w:rsidR="00FD4AA3" w:rsidRDefault="00FD4AA3" w:rsidP="00FD4AA3">
      <w:pPr>
        <w:pStyle w:val="FootnoteText"/>
      </w:pPr>
      <w:r>
        <w:rPr>
          <w:rStyle w:val="FootnoteReference"/>
        </w:rPr>
        <w:footnoteRef/>
      </w:r>
      <w:r>
        <w:t xml:space="preserve"> Now 93.</w:t>
      </w:r>
    </w:p>
  </w:footnote>
  <w:footnote w:id="3">
    <w:p w14:paraId="00DD0597" w14:textId="77777777" w:rsidR="001C206C" w:rsidRDefault="001C206C" w:rsidP="001C206C">
      <w:pPr>
        <w:pStyle w:val="FootnoteText"/>
      </w:pPr>
      <w:r>
        <w:rPr>
          <w:rStyle w:val="FootnoteReference"/>
        </w:rPr>
        <w:footnoteRef/>
      </w:r>
      <w:r>
        <w:t xml:space="preserve"> </w:t>
      </w:r>
      <w:proofErr w:type="spellStart"/>
      <w:r>
        <w:t>Envinet</w:t>
      </w:r>
      <w:proofErr w:type="spellEnd"/>
      <w:r>
        <w:t xml:space="preserve"> SARA</w:t>
      </w:r>
    </w:p>
  </w:footnote>
  <w:footnote w:id="4">
    <w:p w14:paraId="2738D0B5" w14:textId="77777777" w:rsidR="00BE4D42" w:rsidRDefault="00BE4D42" w:rsidP="00BE4D42">
      <w:pPr>
        <w:pStyle w:val="FootnoteText"/>
      </w:pPr>
      <w:r>
        <w:rPr>
          <w:rStyle w:val="FootnoteReference"/>
        </w:rPr>
        <w:footnoteRef/>
      </w:r>
      <w:r>
        <w:t xml:space="preserve"> There are currently 37 ‘hot spares’ which were procured through the original R3M procurement. The availability of these spares could reduce this cost but this will be dependent on: the minimum number of monitors required for routine swap-outs; the number of ‘hot spares’ required; the requirements set out in a prospective Service Level Agreement (SLA).</w:t>
      </w:r>
    </w:p>
  </w:footnote>
  <w:footnote w:id="5">
    <w:p w14:paraId="41E05A23" w14:textId="77777777" w:rsidR="002954B4" w:rsidRDefault="002954B4" w:rsidP="002954B4">
      <w:pPr>
        <w:pStyle w:val="FootnoteText"/>
      </w:pPr>
      <w:r>
        <w:rPr>
          <w:rStyle w:val="FootnoteReference"/>
        </w:rPr>
        <w:footnoteRef/>
      </w:r>
      <w:r>
        <w:t xml:space="preserve"> Calibration cost will be significantly less year-on-year once calibration schedule for new units moves to four-year cycles. If we assume 50 calibrations/annum, calibration costs would come down to ~£85.8k.</w:t>
      </w:r>
    </w:p>
  </w:footnote>
  <w:footnote w:id="6">
    <w:p w14:paraId="7931EED1" w14:textId="33F0443F" w:rsidR="00283FBA" w:rsidRDefault="00283FBA">
      <w:pPr>
        <w:pStyle w:val="FootnoteText"/>
      </w:pPr>
      <w:r>
        <w:rPr>
          <w:rStyle w:val="FootnoteReference"/>
        </w:rPr>
        <w:footnoteRef/>
      </w:r>
      <w:r>
        <w:t xml:space="preserve"> Includes the 11 SARA already procured by the Met Office and assumes the unit cost of the SARA is equivalent to the unit cost of the monitors chosen for the R3M upgrade</w:t>
      </w:r>
    </w:p>
  </w:footnote>
  <w:footnote w:id="7">
    <w:p w14:paraId="4F8EA5A8" w14:textId="63147ADE" w:rsidR="00283FBA" w:rsidRDefault="00283FBA">
      <w:pPr>
        <w:pStyle w:val="FootnoteText"/>
      </w:pPr>
      <w:r>
        <w:rPr>
          <w:rStyle w:val="FootnoteReference"/>
        </w:rPr>
        <w:footnoteRef/>
      </w:r>
      <w:r>
        <w:t xml:space="preserve"> A longer-term objective will see the replication of NMC server functionality within RREMS. This cost is not included in the total as it is included in the allocation for the current support and maintenance contract.</w:t>
      </w:r>
    </w:p>
  </w:footnote>
  <w:footnote w:id="8">
    <w:p w14:paraId="65022745" w14:textId="710F0D6A" w:rsidR="00283FBA" w:rsidRDefault="00283FBA">
      <w:pPr>
        <w:pStyle w:val="FootnoteText"/>
      </w:pPr>
      <w:r>
        <w:rPr>
          <w:rStyle w:val="FootnoteReference"/>
        </w:rPr>
        <w:footnoteRef/>
      </w:r>
      <w:r>
        <w:t xml:space="preserve"> BEIS currently budgets ~£1.1m for the fixed and R3M monitor contracts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A26BD4" w14:textId="77777777" w:rsidR="00283FBA" w:rsidRDefault="00283F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BC2099" w14:textId="1F6FE5AA" w:rsidR="00283FBA" w:rsidRPr="008B191E" w:rsidRDefault="00283FBA" w:rsidP="00291DB3">
    <w:pPr>
      <w:pStyle w:val="Header"/>
      <w:pBdr>
        <w:bottom w:val="single" w:sz="12" w:space="4" w:color="009FDA" w:themeColor="background2"/>
      </w:pBdr>
      <w:rPr>
        <w:rStyle w:val="PageNumber"/>
      </w:rPr>
    </w:pPr>
    <w:r w:rsidRPr="008B191E">
      <w:rPr>
        <w:rStyle w:val="PageNumber"/>
      </w:rPr>
      <w:fldChar w:fldCharType="begin"/>
    </w:r>
    <w:r w:rsidRPr="008B191E">
      <w:rPr>
        <w:rStyle w:val="PageNumber"/>
      </w:rPr>
      <w:instrText xml:space="preserve"> STYLEREF "Heading 1" \* MERGEFORMAT </w:instrText>
    </w:r>
    <w:r w:rsidRPr="008B191E">
      <w:rPr>
        <w:rStyle w:val="PageNumber"/>
      </w:rPr>
      <w:fldChar w:fldCharType="separate"/>
    </w:r>
    <w:r w:rsidR="00BE4D42">
      <w:rPr>
        <w:rStyle w:val="PageNumber"/>
        <w:noProof/>
      </w:rPr>
      <w:t>Options for monitor support and maintenance</w:t>
    </w:r>
    <w:r w:rsidRPr="008B191E">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767417" w14:textId="77777777" w:rsidR="00283FBA" w:rsidRDefault="00283F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00AB33" w14:textId="7602B8E0" w:rsidR="00283FBA" w:rsidRPr="00B172FF" w:rsidRDefault="00283FBA" w:rsidP="00B172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46490"/>
    <w:multiLevelType w:val="hybridMultilevel"/>
    <w:tmpl w:val="7A5A69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394582"/>
    <w:multiLevelType w:val="hybridMultilevel"/>
    <w:tmpl w:val="6B6A52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B71AA8"/>
    <w:multiLevelType w:val="hybridMultilevel"/>
    <w:tmpl w:val="89B2EC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3C4BC6"/>
    <w:multiLevelType w:val="hybridMultilevel"/>
    <w:tmpl w:val="77D821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C74F5B"/>
    <w:multiLevelType w:val="hybridMultilevel"/>
    <w:tmpl w:val="70668074"/>
    <w:lvl w:ilvl="0" w:tplc="5E44D616">
      <w:start w:val="1"/>
      <w:numFmt w:val="bullet"/>
      <w:pStyle w:val="BulletList2"/>
      <w:lvlText w:val=""/>
      <w:lvlJc w:val="left"/>
      <w:pPr>
        <w:ind w:left="720" w:hanging="360"/>
      </w:pPr>
      <w:rPr>
        <w:rFonts w:ascii="Symbol" w:hAnsi="Symbol" w:hint="default"/>
        <w:color w:val="00447C"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9F2AF3"/>
    <w:multiLevelType w:val="hybridMultilevel"/>
    <w:tmpl w:val="E5F8FB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3846EF"/>
    <w:multiLevelType w:val="hybridMultilevel"/>
    <w:tmpl w:val="8C423E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8D0CC8"/>
    <w:multiLevelType w:val="hybridMultilevel"/>
    <w:tmpl w:val="3F6C80B2"/>
    <w:lvl w:ilvl="0" w:tplc="C9045974">
      <w:start w:val="1"/>
      <w:numFmt w:val="bullet"/>
      <w:pStyle w:val="ListBullet"/>
      <w:lvlText w:val=""/>
      <w:lvlJc w:val="left"/>
      <w:pPr>
        <w:tabs>
          <w:tab w:val="num" w:pos="284"/>
        </w:tabs>
        <w:ind w:left="284" w:hanging="284"/>
      </w:pPr>
      <w:rPr>
        <w:rFonts w:ascii="Symbol" w:hAnsi="Symbol" w:hint="default"/>
        <w:color w:val="000000"/>
        <w:sz w:val="24"/>
      </w:rPr>
    </w:lvl>
    <w:lvl w:ilvl="1" w:tplc="08090003">
      <w:start w:val="1"/>
      <w:numFmt w:val="bullet"/>
      <w:lvlText w:val="o"/>
      <w:lvlJc w:val="left"/>
      <w:pPr>
        <w:tabs>
          <w:tab w:val="num" w:pos="1327"/>
        </w:tabs>
        <w:ind w:left="1327" w:hanging="360"/>
      </w:pPr>
      <w:rPr>
        <w:rFonts w:ascii="Courier New" w:hAnsi="Courier New" w:hint="default"/>
      </w:rPr>
    </w:lvl>
    <w:lvl w:ilvl="2" w:tplc="08090005" w:tentative="1">
      <w:start w:val="1"/>
      <w:numFmt w:val="bullet"/>
      <w:lvlText w:val=""/>
      <w:lvlJc w:val="left"/>
      <w:pPr>
        <w:tabs>
          <w:tab w:val="num" w:pos="2047"/>
        </w:tabs>
        <w:ind w:left="2047" w:hanging="360"/>
      </w:pPr>
      <w:rPr>
        <w:rFonts w:ascii="Wingdings" w:hAnsi="Wingdings" w:hint="default"/>
      </w:rPr>
    </w:lvl>
    <w:lvl w:ilvl="3" w:tplc="08090001" w:tentative="1">
      <w:start w:val="1"/>
      <w:numFmt w:val="bullet"/>
      <w:lvlText w:val=""/>
      <w:lvlJc w:val="left"/>
      <w:pPr>
        <w:tabs>
          <w:tab w:val="num" w:pos="2767"/>
        </w:tabs>
        <w:ind w:left="2767" w:hanging="360"/>
      </w:pPr>
      <w:rPr>
        <w:rFonts w:ascii="Symbol" w:hAnsi="Symbol" w:hint="default"/>
      </w:rPr>
    </w:lvl>
    <w:lvl w:ilvl="4" w:tplc="08090003" w:tentative="1">
      <w:start w:val="1"/>
      <w:numFmt w:val="bullet"/>
      <w:lvlText w:val="o"/>
      <w:lvlJc w:val="left"/>
      <w:pPr>
        <w:tabs>
          <w:tab w:val="num" w:pos="3487"/>
        </w:tabs>
        <w:ind w:left="3487" w:hanging="360"/>
      </w:pPr>
      <w:rPr>
        <w:rFonts w:ascii="Courier New" w:hAnsi="Courier New" w:hint="default"/>
      </w:rPr>
    </w:lvl>
    <w:lvl w:ilvl="5" w:tplc="08090005" w:tentative="1">
      <w:start w:val="1"/>
      <w:numFmt w:val="bullet"/>
      <w:lvlText w:val=""/>
      <w:lvlJc w:val="left"/>
      <w:pPr>
        <w:tabs>
          <w:tab w:val="num" w:pos="4207"/>
        </w:tabs>
        <w:ind w:left="4207" w:hanging="360"/>
      </w:pPr>
      <w:rPr>
        <w:rFonts w:ascii="Wingdings" w:hAnsi="Wingdings" w:hint="default"/>
      </w:rPr>
    </w:lvl>
    <w:lvl w:ilvl="6" w:tplc="08090001" w:tentative="1">
      <w:start w:val="1"/>
      <w:numFmt w:val="bullet"/>
      <w:lvlText w:val=""/>
      <w:lvlJc w:val="left"/>
      <w:pPr>
        <w:tabs>
          <w:tab w:val="num" w:pos="4927"/>
        </w:tabs>
        <w:ind w:left="4927" w:hanging="360"/>
      </w:pPr>
      <w:rPr>
        <w:rFonts w:ascii="Symbol" w:hAnsi="Symbol" w:hint="default"/>
      </w:rPr>
    </w:lvl>
    <w:lvl w:ilvl="7" w:tplc="08090003" w:tentative="1">
      <w:start w:val="1"/>
      <w:numFmt w:val="bullet"/>
      <w:lvlText w:val="o"/>
      <w:lvlJc w:val="left"/>
      <w:pPr>
        <w:tabs>
          <w:tab w:val="num" w:pos="5647"/>
        </w:tabs>
        <w:ind w:left="5647" w:hanging="360"/>
      </w:pPr>
      <w:rPr>
        <w:rFonts w:ascii="Courier New" w:hAnsi="Courier New" w:hint="default"/>
      </w:rPr>
    </w:lvl>
    <w:lvl w:ilvl="8" w:tplc="08090005" w:tentative="1">
      <w:start w:val="1"/>
      <w:numFmt w:val="bullet"/>
      <w:lvlText w:val=""/>
      <w:lvlJc w:val="left"/>
      <w:pPr>
        <w:tabs>
          <w:tab w:val="num" w:pos="6367"/>
        </w:tabs>
        <w:ind w:left="6367" w:hanging="360"/>
      </w:pPr>
      <w:rPr>
        <w:rFonts w:ascii="Wingdings" w:hAnsi="Wingdings" w:hint="default"/>
      </w:rPr>
    </w:lvl>
  </w:abstractNum>
  <w:abstractNum w:abstractNumId="8" w15:restartNumberingAfterBreak="0">
    <w:nsid w:val="168E7B09"/>
    <w:multiLevelType w:val="hybridMultilevel"/>
    <w:tmpl w:val="AB24F9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B0708BD"/>
    <w:multiLevelType w:val="hybridMultilevel"/>
    <w:tmpl w:val="BC3CE828"/>
    <w:lvl w:ilvl="0" w:tplc="FF3651FC">
      <w:start w:val="1"/>
      <w:numFmt w:val="bullet"/>
      <w:pStyle w:val="BulletList3"/>
      <w:lvlText w:val=""/>
      <w:lvlJc w:val="left"/>
      <w:pPr>
        <w:ind w:left="720" w:hanging="360"/>
      </w:pPr>
      <w:rPr>
        <w:rFonts w:ascii="Symbol" w:hAnsi="Symbol" w:hint="default"/>
        <w:b/>
        <w:i w:val="0"/>
        <w:color w:val="0076A3" w:themeColor="accent1"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0848E0"/>
    <w:multiLevelType w:val="multilevel"/>
    <w:tmpl w:val="CDE2EC3E"/>
    <w:lvl w:ilvl="0">
      <w:start w:val="1"/>
      <w:numFmt w:val="decimal"/>
      <w:pStyle w:val="NumberList1"/>
      <w:lvlText w:val="%1."/>
      <w:lvlJc w:val="left"/>
      <w:pPr>
        <w:ind w:left="851" w:hanging="851"/>
      </w:pPr>
      <w:rPr>
        <w:rFonts w:ascii="Arial" w:hAnsi="Arial" w:hint="default"/>
        <w:b w:val="0"/>
        <w:i w:val="0"/>
        <w:color w:val="auto"/>
        <w:sz w:val="24"/>
      </w:rPr>
    </w:lvl>
    <w:lvl w:ilvl="1">
      <w:start w:val="1"/>
      <w:numFmt w:val="lowerLetter"/>
      <w:pStyle w:val="NumberList2"/>
      <w:lvlText w:val="(%2)"/>
      <w:lvlJc w:val="left"/>
      <w:pPr>
        <w:ind w:left="1701" w:hanging="850"/>
      </w:pPr>
      <w:rPr>
        <w:rFonts w:ascii="Arial" w:hAnsi="Arial" w:hint="default"/>
        <w:sz w:val="24"/>
      </w:rPr>
    </w:lvl>
    <w:lvl w:ilvl="2">
      <w:start w:val="1"/>
      <w:numFmt w:val="lowerRoman"/>
      <w:pStyle w:val="NumberList3"/>
      <w:lvlText w:val="(%3)"/>
      <w:lvlJc w:val="left"/>
      <w:pPr>
        <w:tabs>
          <w:tab w:val="num" w:pos="17010"/>
        </w:tabs>
        <w:ind w:left="2552" w:hanging="851"/>
      </w:pPr>
      <w:rPr>
        <w:rFonts w:ascii="Arial" w:hAnsi="Arial" w:hint="default"/>
        <w:sz w:val="24"/>
      </w:rPr>
    </w:lvl>
    <w:lvl w:ilvl="3">
      <w:start w:val="1"/>
      <w:numFmt w:val="lowerRoman"/>
      <w:lvlText w:val="(%4)"/>
      <w:lvlJc w:val="left"/>
      <w:pPr>
        <w:ind w:left="851" w:hanging="851"/>
      </w:pPr>
      <w:rPr>
        <w:rFonts w:ascii="Arial" w:hAnsi="Arial" w:hint="default"/>
        <w:sz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30125199"/>
    <w:multiLevelType w:val="hybridMultilevel"/>
    <w:tmpl w:val="43D257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5763961"/>
    <w:multiLevelType w:val="hybridMultilevel"/>
    <w:tmpl w:val="143EEF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A6D36B4"/>
    <w:multiLevelType w:val="hybridMultilevel"/>
    <w:tmpl w:val="6BA05E16"/>
    <w:lvl w:ilvl="0" w:tplc="F930736C">
      <w:start w:val="1"/>
      <w:numFmt w:val="bullet"/>
      <w:pStyle w:val="BulletList1"/>
      <w:lvlText w:val=""/>
      <w:lvlJc w:val="left"/>
      <w:pPr>
        <w:ind w:left="720" w:hanging="360"/>
      </w:pPr>
      <w:rPr>
        <w:rFonts w:ascii="Symbol" w:hAnsi="Symbol" w:hint="default"/>
        <w:color w:val="00447C"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FB6F3A"/>
    <w:multiLevelType w:val="hybridMultilevel"/>
    <w:tmpl w:val="9CDAF1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BA55876"/>
    <w:multiLevelType w:val="hybridMultilevel"/>
    <w:tmpl w:val="DDEC29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FAC6D13"/>
    <w:multiLevelType w:val="hybridMultilevel"/>
    <w:tmpl w:val="804AF7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833AC4"/>
    <w:multiLevelType w:val="hybridMultilevel"/>
    <w:tmpl w:val="6E1CAC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CF34F80"/>
    <w:multiLevelType w:val="hybridMultilevel"/>
    <w:tmpl w:val="3BAC901E"/>
    <w:lvl w:ilvl="0" w:tplc="789C85B0">
      <w:start w:val="1"/>
      <w:numFmt w:val="decimal"/>
      <w:lvlText w:val="%1."/>
      <w:lvlJc w:val="left"/>
      <w:pPr>
        <w:ind w:left="720" w:hanging="360"/>
      </w:pPr>
      <w:rPr>
        <w:b/>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51F73BC0"/>
    <w:multiLevelType w:val="hybridMultilevel"/>
    <w:tmpl w:val="4262022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D4F6F67"/>
    <w:multiLevelType w:val="hybridMultilevel"/>
    <w:tmpl w:val="1CA2E0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2C72A4C"/>
    <w:multiLevelType w:val="hybridMultilevel"/>
    <w:tmpl w:val="86B40C36"/>
    <w:lvl w:ilvl="0" w:tplc="82825DBA">
      <w:start w:val="1"/>
      <w:numFmt w:val="decimal"/>
      <w:lvlText w:val="%1."/>
      <w:lvlJc w:val="left"/>
      <w:pPr>
        <w:ind w:left="360" w:hanging="360"/>
      </w:pPr>
      <w:rPr>
        <w:b/>
      </w:rPr>
    </w:lvl>
    <w:lvl w:ilvl="1" w:tplc="08090019">
      <w:start w:val="1"/>
      <w:numFmt w:val="lowerLetter"/>
      <w:lvlText w:val="%2."/>
      <w:lvlJc w:val="left"/>
      <w:pPr>
        <w:ind w:left="1211"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6E36B08"/>
    <w:multiLevelType w:val="hybridMultilevel"/>
    <w:tmpl w:val="C1822FFE"/>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42461C8"/>
    <w:multiLevelType w:val="hybridMultilevel"/>
    <w:tmpl w:val="4B7AE2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73B5174"/>
    <w:multiLevelType w:val="hybridMultilevel"/>
    <w:tmpl w:val="16648010"/>
    <w:lvl w:ilvl="0" w:tplc="5FF6C752">
      <w:start w:val="1"/>
      <w:numFmt w:val="decimal"/>
      <w:lvlText w:val="%1."/>
      <w:lvlJc w:val="left"/>
      <w:pPr>
        <w:ind w:left="720" w:hanging="360"/>
      </w:pPr>
    </w:lvl>
    <w:lvl w:ilvl="1" w:tplc="0BB0D8A8">
      <w:start w:val="1"/>
      <w:numFmt w:val="bullet"/>
      <w:lvlText w:val="o"/>
      <w:lvlJc w:val="left"/>
      <w:pPr>
        <w:ind w:left="1440" w:hanging="360"/>
      </w:pPr>
      <w:rPr>
        <w:rFonts w:ascii="Courier New" w:hAnsi="Courier New" w:hint="default"/>
      </w:rPr>
    </w:lvl>
    <w:lvl w:ilvl="2" w:tplc="36282EC0">
      <w:start w:val="1"/>
      <w:numFmt w:val="bullet"/>
      <w:lvlText w:val=""/>
      <w:lvlJc w:val="left"/>
      <w:pPr>
        <w:ind w:left="2160" w:hanging="360"/>
      </w:pPr>
      <w:rPr>
        <w:rFonts w:ascii="Wingdings" w:hAnsi="Wingdings" w:hint="default"/>
      </w:rPr>
    </w:lvl>
    <w:lvl w:ilvl="3" w:tplc="C2B04B5C">
      <w:start w:val="1"/>
      <w:numFmt w:val="bullet"/>
      <w:lvlText w:val=""/>
      <w:lvlJc w:val="left"/>
      <w:pPr>
        <w:ind w:left="2880" w:hanging="360"/>
      </w:pPr>
      <w:rPr>
        <w:rFonts w:ascii="Symbol" w:hAnsi="Symbol" w:hint="default"/>
      </w:rPr>
    </w:lvl>
    <w:lvl w:ilvl="4" w:tplc="957AD326">
      <w:start w:val="1"/>
      <w:numFmt w:val="bullet"/>
      <w:lvlText w:val="o"/>
      <w:lvlJc w:val="left"/>
      <w:pPr>
        <w:ind w:left="3600" w:hanging="360"/>
      </w:pPr>
      <w:rPr>
        <w:rFonts w:ascii="Courier New" w:hAnsi="Courier New" w:hint="default"/>
      </w:rPr>
    </w:lvl>
    <w:lvl w:ilvl="5" w:tplc="EE82B8DE">
      <w:start w:val="1"/>
      <w:numFmt w:val="bullet"/>
      <w:lvlText w:val=""/>
      <w:lvlJc w:val="left"/>
      <w:pPr>
        <w:ind w:left="4320" w:hanging="360"/>
      </w:pPr>
      <w:rPr>
        <w:rFonts w:ascii="Wingdings" w:hAnsi="Wingdings" w:hint="default"/>
      </w:rPr>
    </w:lvl>
    <w:lvl w:ilvl="6" w:tplc="AF828DF4">
      <w:start w:val="1"/>
      <w:numFmt w:val="bullet"/>
      <w:lvlText w:val=""/>
      <w:lvlJc w:val="left"/>
      <w:pPr>
        <w:ind w:left="5040" w:hanging="360"/>
      </w:pPr>
      <w:rPr>
        <w:rFonts w:ascii="Symbol" w:hAnsi="Symbol" w:hint="default"/>
      </w:rPr>
    </w:lvl>
    <w:lvl w:ilvl="7" w:tplc="36886D28">
      <w:start w:val="1"/>
      <w:numFmt w:val="bullet"/>
      <w:lvlText w:val="o"/>
      <w:lvlJc w:val="left"/>
      <w:pPr>
        <w:ind w:left="5760" w:hanging="360"/>
      </w:pPr>
      <w:rPr>
        <w:rFonts w:ascii="Courier New" w:hAnsi="Courier New" w:hint="default"/>
      </w:rPr>
    </w:lvl>
    <w:lvl w:ilvl="8" w:tplc="2A22E814">
      <w:start w:val="1"/>
      <w:numFmt w:val="bullet"/>
      <w:lvlText w:val=""/>
      <w:lvlJc w:val="left"/>
      <w:pPr>
        <w:ind w:left="6480" w:hanging="360"/>
      </w:pPr>
      <w:rPr>
        <w:rFonts w:ascii="Wingdings" w:hAnsi="Wingdings" w:hint="default"/>
      </w:rPr>
    </w:lvl>
  </w:abstractNum>
  <w:abstractNum w:abstractNumId="25" w15:restartNumberingAfterBreak="0">
    <w:nsid w:val="78EC5099"/>
    <w:multiLevelType w:val="hybridMultilevel"/>
    <w:tmpl w:val="019CFAB2"/>
    <w:lvl w:ilvl="0" w:tplc="260846F8">
      <w:start w:val="1"/>
      <w:numFmt w:val="decimal"/>
      <w:pStyle w:val="Numberedparagraph"/>
      <w:lvlText w:val="%1."/>
      <w:lvlJc w:val="left"/>
      <w:pPr>
        <w:ind w:left="862" w:hanging="360"/>
      </w:pPr>
      <w:rPr>
        <w:rFonts w:cs="Times New Roman"/>
      </w:rPr>
    </w:lvl>
    <w:lvl w:ilvl="1" w:tplc="08090019" w:tentative="1">
      <w:start w:val="1"/>
      <w:numFmt w:val="lowerLetter"/>
      <w:lvlText w:val="%2."/>
      <w:lvlJc w:val="left"/>
      <w:pPr>
        <w:ind w:left="1582" w:hanging="360"/>
      </w:pPr>
      <w:rPr>
        <w:rFonts w:cs="Times New Roman"/>
      </w:rPr>
    </w:lvl>
    <w:lvl w:ilvl="2" w:tplc="0809001B" w:tentative="1">
      <w:start w:val="1"/>
      <w:numFmt w:val="lowerRoman"/>
      <w:lvlText w:val="%3."/>
      <w:lvlJc w:val="right"/>
      <w:pPr>
        <w:ind w:left="2302" w:hanging="180"/>
      </w:pPr>
      <w:rPr>
        <w:rFonts w:cs="Times New Roman"/>
      </w:rPr>
    </w:lvl>
    <w:lvl w:ilvl="3" w:tplc="0809000F" w:tentative="1">
      <w:start w:val="1"/>
      <w:numFmt w:val="decimal"/>
      <w:lvlText w:val="%4."/>
      <w:lvlJc w:val="left"/>
      <w:pPr>
        <w:ind w:left="3022" w:hanging="360"/>
      </w:pPr>
      <w:rPr>
        <w:rFonts w:cs="Times New Roman"/>
      </w:rPr>
    </w:lvl>
    <w:lvl w:ilvl="4" w:tplc="08090019" w:tentative="1">
      <w:start w:val="1"/>
      <w:numFmt w:val="lowerLetter"/>
      <w:lvlText w:val="%5."/>
      <w:lvlJc w:val="left"/>
      <w:pPr>
        <w:ind w:left="3742" w:hanging="360"/>
      </w:pPr>
      <w:rPr>
        <w:rFonts w:cs="Times New Roman"/>
      </w:rPr>
    </w:lvl>
    <w:lvl w:ilvl="5" w:tplc="0809001B" w:tentative="1">
      <w:start w:val="1"/>
      <w:numFmt w:val="lowerRoman"/>
      <w:lvlText w:val="%6."/>
      <w:lvlJc w:val="right"/>
      <w:pPr>
        <w:ind w:left="4462" w:hanging="180"/>
      </w:pPr>
      <w:rPr>
        <w:rFonts w:cs="Times New Roman"/>
      </w:rPr>
    </w:lvl>
    <w:lvl w:ilvl="6" w:tplc="0809000F" w:tentative="1">
      <w:start w:val="1"/>
      <w:numFmt w:val="decimal"/>
      <w:lvlText w:val="%7."/>
      <w:lvlJc w:val="left"/>
      <w:pPr>
        <w:ind w:left="5182" w:hanging="360"/>
      </w:pPr>
      <w:rPr>
        <w:rFonts w:cs="Times New Roman"/>
      </w:rPr>
    </w:lvl>
    <w:lvl w:ilvl="7" w:tplc="08090019" w:tentative="1">
      <w:start w:val="1"/>
      <w:numFmt w:val="lowerLetter"/>
      <w:lvlText w:val="%8."/>
      <w:lvlJc w:val="left"/>
      <w:pPr>
        <w:ind w:left="5902" w:hanging="360"/>
      </w:pPr>
      <w:rPr>
        <w:rFonts w:cs="Times New Roman"/>
      </w:rPr>
    </w:lvl>
    <w:lvl w:ilvl="8" w:tplc="0809001B" w:tentative="1">
      <w:start w:val="1"/>
      <w:numFmt w:val="lowerRoman"/>
      <w:lvlText w:val="%9."/>
      <w:lvlJc w:val="right"/>
      <w:pPr>
        <w:ind w:left="6622" w:hanging="180"/>
      </w:pPr>
      <w:rPr>
        <w:rFonts w:cs="Times New Roman"/>
      </w:rPr>
    </w:lvl>
  </w:abstractNum>
  <w:abstractNum w:abstractNumId="26" w15:restartNumberingAfterBreak="0">
    <w:nsid w:val="7AF7320D"/>
    <w:multiLevelType w:val="hybridMultilevel"/>
    <w:tmpl w:val="AE1842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C471530"/>
    <w:multiLevelType w:val="hybridMultilevel"/>
    <w:tmpl w:val="0C5A3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FF945BE"/>
    <w:multiLevelType w:val="hybridMultilevel"/>
    <w:tmpl w:val="BA6C31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4"/>
  </w:num>
  <w:num w:numId="2">
    <w:abstractNumId w:val="13"/>
  </w:num>
  <w:num w:numId="3">
    <w:abstractNumId w:val="4"/>
  </w:num>
  <w:num w:numId="4">
    <w:abstractNumId w:val="9"/>
  </w:num>
  <w:num w:numId="5">
    <w:abstractNumId w:val="10"/>
  </w:num>
  <w:num w:numId="6">
    <w:abstractNumId w:val="7"/>
  </w:num>
  <w:num w:numId="7">
    <w:abstractNumId w:val="25"/>
  </w:num>
  <w:num w:numId="8">
    <w:abstractNumId w:val="21"/>
  </w:num>
  <w:num w:numId="9">
    <w:abstractNumId w:val="20"/>
  </w:num>
  <w:num w:numId="10">
    <w:abstractNumId w:val="8"/>
  </w:num>
  <w:num w:numId="11">
    <w:abstractNumId w:val="5"/>
  </w:num>
  <w:num w:numId="12">
    <w:abstractNumId w:val="15"/>
  </w:num>
  <w:num w:numId="13">
    <w:abstractNumId w:val="16"/>
  </w:num>
  <w:num w:numId="14">
    <w:abstractNumId w:val="26"/>
  </w:num>
  <w:num w:numId="15">
    <w:abstractNumId w:val="12"/>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
  </w:num>
  <w:num w:numId="19">
    <w:abstractNumId w:val="27"/>
  </w:num>
  <w:num w:numId="20">
    <w:abstractNumId w:val="14"/>
  </w:num>
  <w:num w:numId="21">
    <w:abstractNumId w:val="22"/>
  </w:num>
  <w:num w:numId="22">
    <w:abstractNumId w:val="2"/>
  </w:num>
  <w:num w:numId="23">
    <w:abstractNumId w:val="19"/>
  </w:num>
  <w:num w:numId="24">
    <w:abstractNumId w:val="17"/>
  </w:num>
  <w:num w:numId="25">
    <w:abstractNumId w:val="23"/>
  </w:num>
  <w:num w:numId="26">
    <w:abstractNumId w:val="6"/>
  </w:num>
  <w:num w:numId="27">
    <w:abstractNumId w:val="11"/>
  </w:num>
  <w:num w:numId="28">
    <w:abstractNumId w:val="28"/>
  </w:num>
  <w:num w:numId="29">
    <w:abstractNumId w:val="3"/>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illiam Watson">
    <w15:presenceInfo w15:providerId="AD" w15:userId="S::William.Watson2@beis.gov.uk::8a4d0499-634f-47d1-b4b9-bf027e2f24f7"/>
  </w15:person>
  <w15:person w15:author="William Watson [2]">
    <w15:presenceInfo w15:providerId="AD" w15:userId="S::William.Watson2@beis.gov.uk::8a4d0499-634f-47d1-b4b9-bf027e2f24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20"/>
  <w:characterSpacingControl w:val="doNotCompress"/>
  <w:hdrShapeDefaults>
    <o:shapedefaults v:ext="edit" spidmax="2049"/>
  </w:hdrShapeDefaults>
  <w:footnotePr>
    <w:numFmt w:val="lowerRoman"/>
    <w:footnote w:id="-1"/>
    <w:footnote w:id="0"/>
    <w:footnote w:id="1"/>
  </w:footnotePr>
  <w:endnotePr>
    <w:pos w:val="sectEnd"/>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4107"/>
    <w:rsid w:val="000008B3"/>
    <w:rsid w:val="00000AB0"/>
    <w:rsid w:val="00001353"/>
    <w:rsid w:val="00001A08"/>
    <w:rsid w:val="000025F4"/>
    <w:rsid w:val="0000284E"/>
    <w:rsid w:val="00002FA5"/>
    <w:rsid w:val="00002FCD"/>
    <w:rsid w:val="00003B0A"/>
    <w:rsid w:val="000041AD"/>
    <w:rsid w:val="000056F4"/>
    <w:rsid w:val="00012349"/>
    <w:rsid w:val="00013933"/>
    <w:rsid w:val="00014545"/>
    <w:rsid w:val="00017056"/>
    <w:rsid w:val="0001712F"/>
    <w:rsid w:val="00020483"/>
    <w:rsid w:val="00020AC7"/>
    <w:rsid w:val="00020D3A"/>
    <w:rsid w:val="00021107"/>
    <w:rsid w:val="00021253"/>
    <w:rsid w:val="0002175E"/>
    <w:rsid w:val="00021866"/>
    <w:rsid w:val="00021E0D"/>
    <w:rsid w:val="0002204C"/>
    <w:rsid w:val="00022C42"/>
    <w:rsid w:val="00022D51"/>
    <w:rsid w:val="00024B9C"/>
    <w:rsid w:val="00026C6C"/>
    <w:rsid w:val="0002758A"/>
    <w:rsid w:val="00027D55"/>
    <w:rsid w:val="00027EEB"/>
    <w:rsid w:val="000304EC"/>
    <w:rsid w:val="00031BF0"/>
    <w:rsid w:val="00031CC2"/>
    <w:rsid w:val="00031F77"/>
    <w:rsid w:val="00031FFA"/>
    <w:rsid w:val="00032280"/>
    <w:rsid w:val="00032561"/>
    <w:rsid w:val="00032597"/>
    <w:rsid w:val="000328C0"/>
    <w:rsid w:val="000329FF"/>
    <w:rsid w:val="00032D3F"/>
    <w:rsid w:val="00033C0B"/>
    <w:rsid w:val="00034549"/>
    <w:rsid w:val="00034686"/>
    <w:rsid w:val="00034A01"/>
    <w:rsid w:val="00034CEC"/>
    <w:rsid w:val="000351D5"/>
    <w:rsid w:val="000354B3"/>
    <w:rsid w:val="00037908"/>
    <w:rsid w:val="0004148B"/>
    <w:rsid w:val="00041AC5"/>
    <w:rsid w:val="00041C88"/>
    <w:rsid w:val="00042217"/>
    <w:rsid w:val="0004241A"/>
    <w:rsid w:val="0004242E"/>
    <w:rsid w:val="000429AD"/>
    <w:rsid w:val="00042BF6"/>
    <w:rsid w:val="00042DDD"/>
    <w:rsid w:val="00042F64"/>
    <w:rsid w:val="000430B6"/>
    <w:rsid w:val="000433A9"/>
    <w:rsid w:val="00044B3C"/>
    <w:rsid w:val="00044B64"/>
    <w:rsid w:val="00044C56"/>
    <w:rsid w:val="00045EF2"/>
    <w:rsid w:val="00047920"/>
    <w:rsid w:val="00051F54"/>
    <w:rsid w:val="000521E5"/>
    <w:rsid w:val="000528E9"/>
    <w:rsid w:val="00053766"/>
    <w:rsid w:val="00055641"/>
    <w:rsid w:val="00055EE7"/>
    <w:rsid w:val="00056054"/>
    <w:rsid w:val="0005644F"/>
    <w:rsid w:val="00057C29"/>
    <w:rsid w:val="00057C66"/>
    <w:rsid w:val="0006021B"/>
    <w:rsid w:val="00061063"/>
    <w:rsid w:val="0006112C"/>
    <w:rsid w:val="000617BB"/>
    <w:rsid w:val="00061A05"/>
    <w:rsid w:val="00061C23"/>
    <w:rsid w:val="0006254A"/>
    <w:rsid w:val="00062731"/>
    <w:rsid w:val="00063184"/>
    <w:rsid w:val="00063602"/>
    <w:rsid w:val="00063C90"/>
    <w:rsid w:val="00064A99"/>
    <w:rsid w:val="00065A35"/>
    <w:rsid w:val="000669AF"/>
    <w:rsid w:val="000705EA"/>
    <w:rsid w:val="00071D89"/>
    <w:rsid w:val="00071EB1"/>
    <w:rsid w:val="00072D1E"/>
    <w:rsid w:val="000745C1"/>
    <w:rsid w:val="000751AD"/>
    <w:rsid w:val="00075281"/>
    <w:rsid w:val="00075B26"/>
    <w:rsid w:val="00076103"/>
    <w:rsid w:val="00077665"/>
    <w:rsid w:val="00080996"/>
    <w:rsid w:val="00080FDB"/>
    <w:rsid w:val="0008243B"/>
    <w:rsid w:val="0008265C"/>
    <w:rsid w:val="00083D80"/>
    <w:rsid w:val="0008416C"/>
    <w:rsid w:val="000843D3"/>
    <w:rsid w:val="00084F30"/>
    <w:rsid w:val="000857B7"/>
    <w:rsid w:val="00086DC5"/>
    <w:rsid w:val="00086EFA"/>
    <w:rsid w:val="00087A2A"/>
    <w:rsid w:val="000906E3"/>
    <w:rsid w:val="000910D8"/>
    <w:rsid w:val="000915FF"/>
    <w:rsid w:val="0009275B"/>
    <w:rsid w:val="00092B92"/>
    <w:rsid w:val="00092E8C"/>
    <w:rsid w:val="00093663"/>
    <w:rsid w:val="00094499"/>
    <w:rsid w:val="000949AE"/>
    <w:rsid w:val="00094BEF"/>
    <w:rsid w:val="0009647F"/>
    <w:rsid w:val="00096FAF"/>
    <w:rsid w:val="000A020A"/>
    <w:rsid w:val="000A0268"/>
    <w:rsid w:val="000A0617"/>
    <w:rsid w:val="000A1DBE"/>
    <w:rsid w:val="000A383F"/>
    <w:rsid w:val="000A464D"/>
    <w:rsid w:val="000A4AC9"/>
    <w:rsid w:val="000A582A"/>
    <w:rsid w:val="000A6526"/>
    <w:rsid w:val="000A6674"/>
    <w:rsid w:val="000A67B3"/>
    <w:rsid w:val="000A78B9"/>
    <w:rsid w:val="000B0A8D"/>
    <w:rsid w:val="000B19DF"/>
    <w:rsid w:val="000B1ADE"/>
    <w:rsid w:val="000B2D52"/>
    <w:rsid w:val="000B3E07"/>
    <w:rsid w:val="000B49A2"/>
    <w:rsid w:val="000B4CA1"/>
    <w:rsid w:val="000B5115"/>
    <w:rsid w:val="000B6AC8"/>
    <w:rsid w:val="000B74A2"/>
    <w:rsid w:val="000B7829"/>
    <w:rsid w:val="000C152F"/>
    <w:rsid w:val="000C1C46"/>
    <w:rsid w:val="000C2CB1"/>
    <w:rsid w:val="000C3114"/>
    <w:rsid w:val="000C4104"/>
    <w:rsid w:val="000C4D30"/>
    <w:rsid w:val="000C5331"/>
    <w:rsid w:val="000C5A17"/>
    <w:rsid w:val="000C5E8A"/>
    <w:rsid w:val="000D09D4"/>
    <w:rsid w:val="000D1E5C"/>
    <w:rsid w:val="000D2493"/>
    <w:rsid w:val="000D24ED"/>
    <w:rsid w:val="000D57DE"/>
    <w:rsid w:val="000D6368"/>
    <w:rsid w:val="000D6A0C"/>
    <w:rsid w:val="000D78C7"/>
    <w:rsid w:val="000E0223"/>
    <w:rsid w:val="000E0340"/>
    <w:rsid w:val="000E2D87"/>
    <w:rsid w:val="000E327D"/>
    <w:rsid w:val="000E37A1"/>
    <w:rsid w:val="000E43A3"/>
    <w:rsid w:val="000E4473"/>
    <w:rsid w:val="000E5444"/>
    <w:rsid w:val="000E573B"/>
    <w:rsid w:val="000E5FED"/>
    <w:rsid w:val="000E639F"/>
    <w:rsid w:val="000E6BB2"/>
    <w:rsid w:val="000E6F5E"/>
    <w:rsid w:val="000E705B"/>
    <w:rsid w:val="000E7E0C"/>
    <w:rsid w:val="000E7E2F"/>
    <w:rsid w:val="000E7FEE"/>
    <w:rsid w:val="000F1FA9"/>
    <w:rsid w:val="000F2158"/>
    <w:rsid w:val="000F2182"/>
    <w:rsid w:val="000F22D9"/>
    <w:rsid w:val="000F24DD"/>
    <w:rsid w:val="000F32EE"/>
    <w:rsid w:val="000F4F98"/>
    <w:rsid w:val="000F56EA"/>
    <w:rsid w:val="000F6B0D"/>
    <w:rsid w:val="000F70D4"/>
    <w:rsid w:val="0010059E"/>
    <w:rsid w:val="00100E7B"/>
    <w:rsid w:val="0010130F"/>
    <w:rsid w:val="00101772"/>
    <w:rsid w:val="001019C2"/>
    <w:rsid w:val="001023B5"/>
    <w:rsid w:val="001024B6"/>
    <w:rsid w:val="00102FA2"/>
    <w:rsid w:val="0010343A"/>
    <w:rsid w:val="00103DBF"/>
    <w:rsid w:val="00104EE6"/>
    <w:rsid w:val="00106973"/>
    <w:rsid w:val="00106C57"/>
    <w:rsid w:val="0010700C"/>
    <w:rsid w:val="00107BB8"/>
    <w:rsid w:val="00107C37"/>
    <w:rsid w:val="00110AE3"/>
    <w:rsid w:val="001115D0"/>
    <w:rsid w:val="00111AC4"/>
    <w:rsid w:val="00112DA3"/>
    <w:rsid w:val="00113004"/>
    <w:rsid w:val="0011361F"/>
    <w:rsid w:val="00113A32"/>
    <w:rsid w:val="00114B75"/>
    <w:rsid w:val="0011523F"/>
    <w:rsid w:val="0011580E"/>
    <w:rsid w:val="0011744C"/>
    <w:rsid w:val="001175D7"/>
    <w:rsid w:val="00117F13"/>
    <w:rsid w:val="00121199"/>
    <w:rsid w:val="00121AA1"/>
    <w:rsid w:val="00122096"/>
    <w:rsid w:val="00122295"/>
    <w:rsid w:val="00122CB0"/>
    <w:rsid w:val="00123AD1"/>
    <w:rsid w:val="0012484E"/>
    <w:rsid w:val="00126C3C"/>
    <w:rsid w:val="0013101C"/>
    <w:rsid w:val="0013125E"/>
    <w:rsid w:val="00134973"/>
    <w:rsid w:val="00134B64"/>
    <w:rsid w:val="00135247"/>
    <w:rsid w:val="001362BF"/>
    <w:rsid w:val="001362D6"/>
    <w:rsid w:val="001408B6"/>
    <w:rsid w:val="00140A36"/>
    <w:rsid w:val="00140B60"/>
    <w:rsid w:val="00140E41"/>
    <w:rsid w:val="0014173B"/>
    <w:rsid w:val="00141CB9"/>
    <w:rsid w:val="0014291C"/>
    <w:rsid w:val="001430A8"/>
    <w:rsid w:val="00143449"/>
    <w:rsid w:val="00143B91"/>
    <w:rsid w:val="001442C6"/>
    <w:rsid w:val="00144B33"/>
    <w:rsid w:val="00144D13"/>
    <w:rsid w:val="0014532C"/>
    <w:rsid w:val="001459BD"/>
    <w:rsid w:val="001460CD"/>
    <w:rsid w:val="00147CE9"/>
    <w:rsid w:val="001515DA"/>
    <w:rsid w:val="00151BA5"/>
    <w:rsid w:val="00151D77"/>
    <w:rsid w:val="00151F71"/>
    <w:rsid w:val="0015252D"/>
    <w:rsid w:val="00153C99"/>
    <w:rsid w:val="00153DC4"/>
    <w:rsid w:val="0015444B"/>
    <w:rsid w:val="001547FC"/>
    <w:rsid w:val="00155E5A"/>
    <w:rsid w:val="00157BB3"/>
    <w:rsid w:val="00157F7A"/>
    <w:rsid w:val="00160522"/>
    <w:rsid w:val="0016122B"/>
    <w:rsid w:val="00161AB1"/>
    <w:rsid w:val="001625FE"/>
    <w:rsid w:val="001627E4"/>
    <w:rsid w:val="00162F82"/>
    <w:rsid w:val="0016398D"/>
    <w:rsid w:val="00163ACB"/>
    <w:rsid w:val="00163D85"/>
    <w:rsid w:val="001640A7"/>
    <w:rsid w:val="00164EA6"/>
    <w:rsid w:val="00165205"/>
    <w:rsid w:val="00166022"/>
    <w:rsid w:val="00166374"/>
    <w:rsid w:val="00167DA7"/>
    <w:rsid w:val="00170665"/>
    <w:rsid w:val="00170D8D"/>
    <w:rsid w:val="001729A7"/>
    <w:rsid w:val="00172C90"/>
    <w:rsid w:val="00172C92"/>
    <w:rsid w:val="00172ED8"/>
    <w:rsid w:val="0017446D"/>
    <w:rsid w:val="00174D22"/>
    <w:rsid w:val="00175355"/>
    <w:rsid w:val="00175BD8"/>
    <w:rsid w:val="00175DF0"/>
    <w:rsid w:val="001760CF"/>
    <w:rsid w:val="0018043A"/>
    <w:rsid w:val="00181BD4"/>
    <w:rsid w:val="00181F7F"/>
    <w:rsid w:val="001825B4"/>
    <w:rsid w:val="00182E62"/>
    <w:rsid w:val="0018394E"/>
    <w:rsid w:val="00183ABE"/>
    <w:rsid w:val="001841CA"/>
    <w:rsid w:val="001842D0"/>
    <w:rsid w:val="00184996"/>
    <w:rsid w:val="00184B34"/>
    <w:rsid w:val="00184C39"/>
    <w:rsid w:val="00186CF8"/>
    <w:rsid w:val="0018746A"/>
    <w:rsid w:val="001878B4"/>
    <w:rsid w:val="00187F36"/>
    <w:rsid w:val="00190AC9"/>
    <w:rsid w:val="00190F01"/>
    <w:rsid w:val="00191225"/>
    <w:rsid w:val="00191431"/>
    <w:rsid w:val="0019261E"/>
    <w:rsid w:val="00192D70"/>
    <w:rsid w:val="001947FF"/>
    <w:rsid w:val="0019529A"/>
    <w:rsid w:val="00195A6E"/>
    <w:rsid w:val="00195F4F"/>
    <w:rsid w:val="001964C2"/>
    <w:rsid w:val="001965BC"/>
    <w:rsid w:val="00197323"/>
    <w:rsid w:val="001978B2"/>
    <w:rsid w:val="001A0340"/>
    <w:rsid w:val="001A0676"/>
    <w:rsid w:val="001A0F43"/>
    <w:rsid w:val="001A2137"/>
    <w:rsid w:val="001A2719"/>
    <w:rsid w:val="001A284B"/>
    <w:rsid w:val="001A35A5"/>
    <w:rsid w:val="001A51B7"/>
    <w:rsid w:val="001A52C5"/>
    <w:rsid w:val="001A5FBF"/>
    <w:rsid w:val="001A6020"/>
    <w:rsid w:val="001A680E"/>
    <w:rsid w:val="001A69F7"/>
    <w:rsid w:val="001A6BD5"/>
    <w:rsid w:val="001A72D3"/>
    <w:rsid w:val="001B078B"/>
    <w:rsid w:val="001B142F"/>
    <w:rsid w:val="001B14A1"/>
    <w:rsid w:val="001B16EC"/>
    <w:rsid w:val="001B2514"/>
    <w:rsid w:val="001B27F1"/>
    <w:rsid w:val="001B30A4"/>
    <w:rsid w:val="001B3BD2"/>
    <w:rsid w:val="001B45DA"/>
    <w:rsid w:val="001B57C3"/>
    <w:rsid w:val="001B60F8"/>
    <w:rsid w:val="001B6C21"/>
    <w:rsid w:val="001B6D38"/>
    <w:rsid w:val="001B6E02"/>
    <w:rsid w:val="001B6F65"/>
    <w:rsid w:val="001C07A4"/>
    <w:rsid w:val="001C093D"/>
    <w:rsid w:val="001C0C55"/>
    <w:rsid w:val="001C1300"/>
    <w:rsid w:val="001C206C"/>
    <w:rsid w:val="001C2BD7"/>
    <w:rsid w:val="001C3371"/>
    <w:rsid w:val="001C33B7"/>
    <w:rsid w:val="001C35F1"/>
    <w:rsid w:val="001C488A"/>
    <w:rsid w:val="001C50F6"/>
    <w:rsid w:val="001C530C"/>
    <w:rsid w:val="001C5E3B"/>
    <w:rsid w:val="001C6AFA"/>
    <w:rsid w:val="001C77ED"/>
    <w:rsid w:val="001C7DBA"/>
    <w:rsid w:val="001D178D"/>
    <w:rsid w:val="001D243B"/>
    <w:rsid w:val="001D3207"/>
    <w:rsid w:val="001D3E54"/>
    <w:rsid w:val="001D3F0F"/>
    <w:rsid w:val="001D4003"/>
    <w:rsid w:val="001D4187"/>
    <w:rsid w:val="001D4E19"/>
    <w:rsid w:val="001D506B"/>
    <w:rsid w:val="001D63B4"/>
    <w:rsid w:val="001E1357"/>
    <w:rsid w:val="001E1A71"/>
    <w:rsid w:val="001E3200"/>
    <w:rsid w:val="001E365C"/>
    <w:rsid w:val="001E44C9"/>
    <w:rsid w:val="001E51C8"/>
    <w:rsid w:val="001E5C72"/>
    <w:rsid w:val="001E5DC2"/>
    <w:rsid w:val="001E6124"/>
    <w:rsid w:val="001E6A5B"/>
    <w:rsid w:val="001E7788"/>
    <w:rsid w:val="001E7A60"/>
    <w:rsid w:val="001F0961"/>
    <w:rsid w:val="001F13BA"/>
    <w:rsid w:val="001F17E8"/>
    <w:rsid w:val="001F18C0"/>
    <w:rsid w:val="001F2139"/>
    <w:rsid w:val="001F259F"/>
    <w:rsid w:val="001F3559"/>
    <w:rsid w:val="001F44B5"/>
    <w:rsid w:val="001F48B7"/>
    <w:rsid w:val="001F5229"/>
    <w:rsid w:val="001F565D"/>
    <w:rsid w:val="001F6FCC"/>
    <w:rsid w:val="001F7331"/>
    <w:rsid w:val="00200576"/>
    <w:rsid w:val="00200E94"/>
    <w:rsid w:val="00200F73"/>
    <w:rsid w:val="002013CF"/>
    <w:rsid w:val="00201CCF"/>
    <w:rsid w:val="002021A0"/>
    <w:rsid w:val="00202271"/>
    <w:rsid w:val="002022C7"/>
    <w:rsid w:val="00202472"/>
    <w:rsid w:val="002033D4"/>
    <w:rsid w:val="00203576"/>
    <w:rsid w:val="00203678"/>
    <w:rsid w:val="002043FE"/>
    <w:rsid w:val="00204492"/>
    <w:rsid w:val="00204641"/>
    <w:rsid w:val="002049D5"/>
    <w:rsid w:val="00205005"/>
    <w:rsid w:val="00205187"/>
    <w:rsid w:val="002052F9"/>
    <w:rsid w:val="00205EE9"/>
    <w:rsid w:val="00206A24"/>
    <w:rsid w:val="00207609"/>
    <w:rsid w:val="002078E1"/>
    <w:rsid w:val="00207BCB"/>
    <w:rsid w:val="00207EDC"/>
    <w:rsid w:val="00210B2B"/>
    <w:rsid w:val="00210BCD"/>
    <w:rsid w:val="002116DB"/>
    <w:rsid w:val="00211F69"/>
    <w:rsid w:val="002124EC"/>
    <w:rsid w:val="0021418F"/>
    <w:rsid w:val="002142EF"/>
    <w:rsid w:val="002148CB"/>
    <w:rsid w:val="00214D12"/>
    <w:rsid w:val="00216CA1"/>
    <w:rsid w:val="0021732B"/>
    <w:rsid w:val="00217793"/>
    <w:rsid w:val="0022095C"/>
    <w:rsid w:val="00220AB0"/>
    <w:rsid w:val="00221508"/>
    <w:rsid w:val="00221F4C"/>
    <w:rsid w:val="00222522"/>
    <w:rsid w:val="002228E2"/>
    <w:rsid w:val="0022320D"/>
    <w:rsid w:val="00223C42"/>
    <w:rsid w:val="0022436F"/>
    <w:rsid w:val="002247DC"/>
    <w:rsid w:val="002249CF"/>
    <w:rsid w:val="002258EE"/>
    <w:rsid w:val="00225FF6"/>
    <w:rsid w:val="00226B7F"/>
    <w:rsid w:val="00227818"/>
    <w:rsid w:val="00230A15"/>
    <w:rsid w:val="002328F8"/>
    <w:rsid w:val="00232A85"/>
    <w:rsid w:val="00232F15"/>
    <w:rsid w:val="00233E1E"/>
    <w:rsid w:val="002359F5"/>
    <w:rsid w:val="00237016"/>
    <w:rsid w:val="00237792"/>
    <w:rsid w:val="00240584"/>
    <w:rsid w:val="00240A0B"/>
    <w:rsid w:val="0024120F"/>
    <w:rsid w:val="00241509"/>
    <w:rsid w:val="00241DD4"/>
    <w:rsid w:val="002422BA"/>
    <w:rsid w:val="00242908"/>
    <w:rsid w:val="0024392A"/>
    <w:rsid w:val="00243DD2"/>
    <w:rsid w:val="00244A4B"/>
    <w:rsid w:val="00244A80"/>
    <w:rsid w:val="00245021"/>
    <w:rsid w:val="0024502B"/>
    <w:rsid w:val="0024551D"/>
    <w:rsid w:val="00245680"/>
    <w:rsid w:val="002461CB"/>
    <w:rsid w:val="002466DD"/>
    <w:rsid w:val="00246DD1"/>
    <w:rsid w:val="0025043A"/>
    <w:rsid w:val="00250552"/>
    <w:rsid w:val="0025071A"/>
    <w:rsid w:val="00250D60"/>
    <w:rsid w:val="00251C4B"/>
    <w:rsid w:val="00251E4D"/>
    <w:rsid w:val="00251FFA"/>
    <w:rsid w:val="0025227D"/>
    <w:rsid w:val="0025275D"/>
    <w:rsid w:val="0025290B"/>
    <w:rsid w:val="002536AF"/>
    <w:rsid w:val="002542E4"/>
    <w:rsid w:val="00256161"/>
    <w:rsid w:val="00256AC3"/>
    <w:rsid w:val="002579A1"/>
    <w:rsid w:val="00257DD4"/>
    <w:rsid w:val="002612DB"/>
    <w:rsid w:val="0026136E"/>
    <w:rsid w:val="00261650"/>
    <w:rsid w:val="0026183E"/>
    <w:rsid w:val="00261A33"/>
    <w:rsid w:val="00261BD0"/>
    <w:rsid w:val="00261D7C"/>
    <w:rsid w:val="00262437"/>
    <w:rsid w:val="00262E89"/>
    <w:rsid w:val="002631D7"/>
    <w:rsid w:val="002650CC"/>
    <w:rsid w:val="00265D24"/>
    <w:rsid w:val="00265D9B"/>
    <w:rsid w:val="00267380"/>
    <w:rsid w:val="002703F0"/>
    <w:rsid w:val="0027061D"/>
    <w:rsid w:val="00270F08"/>
    <w:rsid w:val="00272A6A"/>
    <w:rsid w:val="0027316F"/>
    <w:rsid w:val="00273533"/>
    <w:rsid w:val="00273575"/>
    <w:rsid w:val="00273B7D"/>
    <w:rsid w:val="00274B01"/>
    <w:rsid w:val="00275021"/>
    <w:rsid w:val="0027749B"/>
    <w:rsid w:val="00277C27"/>
    <w:rsid w:val="00277DF2"/>
    <w:rsid w:val="00280798"/>
    <w:rsid w:val="00280820"/>
    <w:rsid w:val="002809AB"/>
    <w:rsid w:val="00280A66"/>
    <w:rsid w:val="00280A99"/>
    <w:rsid w:val="00280B5B"/>
    <w:rsid w:val="00281575"/>
    <w:rsid w:val="0028185D"/>
    <w:rsid w:val="00281883"/>
    <w:rsid w:val="00282EC8"/>
    <w:rsid w:val="0028353C"/>
    <w:rsid w:val="002836A4"/>
    <w:rsid w:val="00283CB6"/>
    <w:rsid w:val="00283FBA"/>
    <w:rsid w:val="00284252"/>
    <w:rsid w:val="00284BA7"/>
    <w:rsid w:val="00284CFC"/>
    <w:rsid w:val="0028558B"/>
    <w:rsid w:val="002855FC"/>
    <w:rsid w:val="00285E72"/>
    <w:rsid w:val="0028620F"/>
    <w:rsid w:val="00286B72"/>
    <w:rsid w:val="0028701F"/>
    <w:rsid w:val="00290BF6"/>
    <w:rsid w:val="00291DB3"/>
    <w:rsid w:val="00292499"/>
    <w:rsid w:val="002933E3"/>
    <w:rsid w:val="00294107"/>
    <w:rsid w:val="002954B4"/>
    <w:rsid w:val="0029567E"/>
    <w:rsid w:val="002968AE"/>
    <w:rsid w:val="00296B70"/>
    <w:rsid w:val="00297CCB"/>
    <w:rsid w:val="002A02B0"/>
    <w:rsid w:val="002A02FD"/>
    <w:rsid w:val="002A169D"/>
    <w:rsid w:val="002A1735"/>
    <w:rsid w:val="002A1E5F"/>
    <w:rsid w:val="002A299D"/>
    <w:rsid w:val="002A3082"/>
    <w:rsid w:val="002A3570"/>
    <w:rsid w:val="002A36E1"/>
    <w:rsid w:val="002A380C"/>
    <w:rsid w:val="002A3B48"/>
    <w:rsid w:val="002A4177"/>
    <w:rsid w:val="002A464E"/>
    <w:rsid w:val="002A4ADF"/>
    <w:rsid w:val="002A4AEE"/>
    <w:rsid w:val="002A4BEC"/>
    <w:rsid w:val="002A5179"/>
    <w:rsid w:val="002A5FE6"/>
    <w:rsid w:val="002B03CB"/>
    <w:rsid w:val="002B18AF"/>
    <w:rsid w:val="002B190D"/>
    <w:rsid w:val="002B1956"/>
    <w:rsid w:val="002B23B2"/>
    <w:rsid w:val="002B2B1B"/>
    <w:rsid w:val="002B366B"/>
    <w:rsid w:val="002B4FB5"/>
    <w:rsid w:val="002B50DA"/>
    <w:rsid w:val="002B6CA7"/>
    <w:rsid w:val="002C0A5F"/>
    <w:rsid w:val="002C0D6F"/>
    <w:rsid w:val="002C1E37"/>
    <w:rsid w:val="002C25AB"/>
    <w:rsid w:val="002C35AF"/>
    <w:rsid w:val="002C3D0A"/>
    <w:rsid w:val="002C4C5D"/>
    <w:rsid w:val="002C6972"/>
    <w:rsid w:val="002C7A71"/>
    <w:rsid w:val="002C7F3B"/>
    <w:rsid w:val="002D0728"/>
    <w:rsid w:val="002D08C3"/>
    <w:rsid w:val="002D2D48"/>
    <w:rsid w:val="002D31F9"/>
    <w:rsid w:val="002D3A2B"/>
    <w:rsid w:val="002D3B27"/>
    <w:rsid w:val="002D3BC4"/>
    <w:rsid w:val="002D4643"/>
    <w:rsid w:val="002D5D9C"/>
    <w:rsid w:val="002D611A"/>
    <w:rsid w:val="002D6AEF"/>
    <w:rsid w:val="002D71EA"/>
    <w:rsid w:val="002E10CF"/>
    <w:rsid w:val="002E2781"/>
    <w:rsid w:val="002E2903"/>
    <w:rsid w:val="002E33D3"/>
    <w:rsid w:val="002E3930"/>
    <w:rsid w:val="002E4450"/>
    <w:rsid w:val="002E4913"/>
    <w:rsid w:val="002E5199"/>
    <w:rsid w:val="002E56BF"/>
    <w:rsid w:val="002E59DD"/>
    <w:rsid w:val="002E59EA"/>
    <w:rsid w:val="002E6D11"/>
    <w:rsid w:val="002E6E6F"/>
    <w:rsid w:val="002E728C"/>
    <w:rsid w:val="002F07CB"/>
    <w:rsid w:val="002F1040"/>
    <w:rsid w:val="002F126F"/>
    <w:rsid w:val="002F201E"/>
    <w:rsid w:val="002F246D"/>
    <w:rsid w:val="002F362B"/>
    <w:rsid w:val="002F4051"/>
    <w:rsid w:val="002F4427"/>
    <w:rsid w:val="002F5344"/>
    <w:rsid w:val="002F5F6E"/>
    <w:rsid w:val="002F609E"/>
    <w:rsid w:val="002F68D3"/>
    <w:rsid w:val="002F6E45"/>
    <w:rsid w:val="002F7E4D"/>
    <w:rsid w:val="002F92AF"/>
    <w:rsid w:val="00300353"/>
    <w:rsid w:val="00300E17"/>
    <w:rsid w:val="00301539"/>
    <w:rsid w:val="00301E3E"/>
    <w:rsid w:val="003022FD"/>
    <w:rsid w:val="003031F7"/>
    <w:rsid w:val="00304348"/>
    <w:rsid w:val="003056FD"/>
    <w:rsid w:val="003063FF"/>
    <w:rsid w:val="00306A6C"/>
    <w:rsid w:val="0031025B"/>
    <w:rsid w:val="003117CC"/>
    <w:rsid w:val="00312653"/>
    <w:rsid w:val="00313A18"/>
    <w:rsid w:val="003142FE"/>
    <w:rsid w:val="00314F62"/>
    <w:rsid w:val="003158DB"/>
    <w:rsid w:val="00317B20"/>
    <w:rsid w:val="00317C53"/>
    <w:rsid w:val="00320DFE"/>
    <w:rsid w:val="003213FA"/>
    <w:rsid w:val="00322A7E"/>
    <w:rsid w:val="00322B7B"/>
    <w:rsid w:val="00322ED2"/>
    <w:rsid w:val="0032346E"/>
    <w:rsid w:val="00323923"/>
    <w:rsid w:val="00324063"/>
    <w:rsid w:val="00324EC4"/>
    <w:rsid w:val="00324F3B"/>
    <w:rsid w:val="003253BF"/>
    <w:rsid w:val="003259BF"/>
    <w:rsid w:val="00325B88"/>
    <w:rsid w:val="003267B6"/>
    <w:rsid w:val="00326F0A"/>
    <w:rsid w:val="0032790B"/>
    <w:rsid w:val="0033022D"/>
    <w:rsid w:val="00330473"/>
    <w:rsid w:val="003306BA"/>
    <w:rsid w:val="0033141B"/>
    <w:rsid w:val="00331F95"/>
    <w:rsid w:val="0033293B"/>
    <w:rsid w:val="00334403"/>
    <w:rsid w:val="00335E75"/>
    <w:rsid w:val="00336242"/>
    <w:rsid w:val="0033691C"/>
    <w:rsid w:val="003408AA"/>
    <w:rsid w:val="00341001"/>
    <w:rsid w:val="00341E4B"/>
    <w:rsid w:val="00342277"/>
    <w:rsid w:val="003429C9"/>
    <w:rsid w:val="00343CCD"/>
    <w:rsid w:val="00344671"/>
    <w:rsid w:val="00344CA9"/>
    <w:rsid w:val="003459F0"/>
    <w:rsid w:val="0034752B"/>
    <w:rsid w:val="003476D8"/>
    <w:rsid w:val="00347B48"/>
    <w:rsid w:val="0035007D"/>
    <w:rsid w:val="00350534"/>
    <w:rsid w:val="003507DC"/>
    <w:rsid w:val="003510B0"/>
    <w:rsid w:val="003516D6"/>
    <w:rsid w:val="00351BC6"/>
    <w:rsid w:val="00351EEC"/>
    <w:rsid w:val="0035247A"/>
    <w:rsid w:val="003532A4"/>
    <w:rsid w:val="003539F1"/>
    <w:rsid w:val="00355078"/>
    <w:rsid w:val="00355B68"/>
    <w:rsid w:val="0035687D"/>
    <w:rsid w:val="003602BD"/>
    <w:rsid w:val="00360628"/>
    <w:rsid w:val="003610C1"/>
    <w:rsid w:val="003616EC"/>
    <w:rsid w:val="00361874"/>
    <w:rsid w:val="00361980"/>
    <w:rsid w:val="00362B0F"/>
    <w:rsid w:val="00362F83"/>
    <w:rsid w:val="00363116"/>
    <w:rsid w:val="003639A8"/>
    <w:rsid w:val="00363B37"/>
    <w:rsid w:val="00366B1B"/>
    <w:rsid w:val="003700BD"/>
    <w:rsid w:val="00371BC5"/>
    <w:rsid w:val="003724CB"/>
    <w:rsid w:val="00372856"/>
    <w:rsid w:val="00373DCD"/>
    <w:rsid w:val="0037459A"/>
    <w:rsid w:val="00375202"/>
    <w:rsid w:val="003755C3"/>
    <w:rsid w:val="00375B5D"/>
    <w:rsid w:val="00376B95"/>
    <w:rsid w:val="00376C2A"/>
    <w:rsid w:val="00376C49"/>
    <w:rsid w:val="0038017B"/>
    <w:rsid w:val="003804C3"/>
    <w:rsid w:val="00382B3D"/>
    <w:rsid w:val="00382F05"/>
    <w:rsid w:val="003832F3"/>
    <w:rsid w:val="00383BC9"/>
    <w:rsid w:val="00384DA9"/>
    <w:rsid w:val="0038579B"/>
    <w:rsid w:val="00385ADE"/>
    <w:rsid w:val="00385DBE"/>
    <w:rsid w:val="00386167"/>
    <w:rsid w:val="00386AAF"/>
    <w:rsid w:val="0038742D"/>
    <w:rsid w:val="0039003B"/>
    <w:rsid w:val="003903FF"/>
    <w:rsid w:val="00391064"/>
    <w:rsid w:val="0039162C"/>
    <w:rsid w:val="00392341"/>
    <w:rsid w:val="003930E9"/>
    <w:rsid w:val="00393103"/>
    <w:rsid w:val="00393660"/>
    <w:rsid w:val="00393F2D"/>
    <w:rsid w:val="00394840"/>
    <w:rsid w:val="003953C4"/>
    <w:rsid w:val="0039569B"/>
    <w:rsid w:val="0039614F"/>
    <w:rsid w:val="003967B1"/>
    <w:rsid w:val="003A0C68"/>
    <w:rsid w:val="003A1537"/>
    <w:rsid w:val="003A16DD"/>
    <w:rsid w:val="003A1FC8"/>
    <w:rsid w:val="003A210F"/>
    <w:rsid w:val="003A245A"/>
    <w:rsid w:val="003A24E5"/>
    <w:rsid w:val="003A28DD"/>
    <w:rsid w:val="003A29F4"/>
    <w:rsid w:val="003A3246"/>
    <w:rsid w:val="003A426C"/>
    <w:rsid w:val="003A44A1"/>
    <w:rsid w:val="003A468E"/>
    <w:rsid w:val="003A545A"/>
    <w:rsid w:val="003A562E"/>
    <w:rsid w:val="003A5CA4"/>
    <w:rsid w:val="003A618D"/>
    <w:rsid w:val="003A6DD0"/>
    <w:rsid w:val="003A72CE"/>
    <w:rsid w:val="003B059C"/>
    <w:rsid w:val="003B14D3"/>
    <w:rsid w:val="003B1533"/>
    <w:rsid w:val="003B167A"/>
    <w:rsid w:val="003B1C6C"/>
    <w:rsid w:val="003B30C2"/>
    <w:rsid w:val="003B4507"/>
    <w:rsid w:val="003B7177"/>
    <w:rsid w:val="003B780C"/>
    <w:rsid w:val="003B7D0C"/>
    <w:rsid w:val="003C07FA"/>
    <w:rsid w:val="003C1C7A"/>
    <w:rsid w:val="003C22F0"/>
    <w:rsid w:val="003C3272"/>
    <w:rsid w:val="003C379D"/>
    <w:rsid w:val="003C3C35"/>
    <w:rsid w:val="003C3CF7"/>
    <w:rsid w:val="003C40F0"/>
    <w:rsid w:val="003C42E2"/>
    <w:rsid w:val="003C5161"/>
    <w:rsid w:val="003C5BBF"/>
    <w:rsid w:val="003C5EE3"/>
    <w:rsid w:val="003C603F"/>
    <w:rsid w:val="003C6474"/>
    <w:rsid w:val="003C6D2D"/>
    <w:rsid w:val="003D01E7"/>
    <w:rsid w:val="003D04BE"/>
    <w:rsid w:val="003D1991"/>
    <w:rsid w:val="003D1D8B"/>
    <w:rsid w:val="003D3FF1"/>
    <w:rsid w:val="003D4414"/>
    <w:rsid w:val="003D58AE"/>
    <w:rsid w:val="003E105C"/>
    <w:rsid w:val="003E242C"/>
    <w:rsid w:val="003E494D"/>
    <w:rsid w:val="003E569D"/>
    <w:rsid w:val="003E6831"/>
    <w:rsid w:val="003E6BEF"/>
    <w:rsid w:val="003F05D2"/>
    <w:rsid w:val="003F0B4B"/>
    <w:rsid w:val="003F249F"/>
    <w:rsid w:val="003F2F20"/>
    <w:rsid w:val="003F35FE"/>
    <w:rsid w:val="003F3780"/>
    <w:rsid w:val="003F3EBF"/>
    <w:rsid w:val="003F45E5"/>
    <w:rsid w:val="003F4B12"/>
    <w:rsid w:val="003F589C"/>
    <w:rsid w:val="003F642F"/>
    <w:rsid w:val="003F73F1"/>
    <w:rsid w:val="003F77C0"/>
    <w:rsid w:val="003F7848"/>
    <w:rsid w:val="00400F99"/>
    <w:rsid w:val="00401F7A"/>
    <w:rsid w:val="0040237F"/>
    <w:rsid w:val="00403023"/>
    <w:rsid w:val="00403698"/>
    <w:rsid w:val="00403AC0"/>
    <w:rsid w:val="00403B30"/>
    <w:rsid w:val="004044CB"/>
    <w:rsid w:val="004047A8"/>
    <w:rsid w:val="00404A0D"/>
    <w:rsid w:val="00404E6F"/>
    <w:rsid w:val="00404EED"/>
    <w:rsid w:val="0040653C"/>
    <w:rsid w:val="00406A38"/>
    <w:rsid w:val="00406CC9"/>
    <w:rsid w:val="00407351"/>
    <w:rsid w:val="00413702"/>
    <w:rsid w:val="0041430B"/>
    <w:rsid w:val="004161F6"/>
    <w:rsid w:val="00416439"/>
    <w:rsid w:val="004166BE"/>
    <w:rsid w:val="00417016"/>
    <w:rsid w:val="00417210"/>
    <w:rsid w:val="00417886"/>
    <w:rsid w:val="004213CE"/>
    <w:rsid w:val="004217D9"/>
    <w:rsid w:val="00421885"/>
    <w:rsid w:val="00422479"/>
    <w:rsid w:val="00423BB0"/>
    <w:rsid w:val="004253E1"/>
    <w:rsid w:val="004256BC"/>
    <w:rsid w:val="004263AF"/>
    <w:rsid w:val="004265FF"/>
    <w:rsid w:val="0042739A"/>
    <w:rsid w:val="00427AF5"/>
    <w:rsid w:val="00430D07"/>
    <w:rsid w:val="004314AE"/>
    <w:rsid w:val="00431D50"/>
    <w:rsid w:val="00432314"/>
    <w:rsid w:val="00432B9C"/>
    <w:rsid w:val="004334FA"/>
    <w:rsid w:val="00433874"/>
    <w:rsid w:val="0043406A"/>
    <w:rsid w:val="004343A1"/>
    <w:rsid w:val="00435CBE"/>
    <w:rsid w:val="00435FCF"/>
    <w:rsid w:val="00436B94"/>
    <w:rsid w:val="00436BB7"/>
    <w:rsid w:val="00437234"/>
    <w:rsid w:val="00440CBD"/>
    <w:rsid w:val="004411D7"/>
    <w:rsid w:val="004440F0"/>
    <w:rsid w:val="00445057"/>
    <w:rsid w:val="0044582D"/>
    <w:rsid w:val="00446D0A"/>
    <w:rsid w:val="004507C4"/>
    <w:rsid w:val="00450AB7"/>
    <w:rsid w:val="00450CA2"/>
    <w:rsid w:val="00451E1D"/>
    <w:rsid w:val="00452340"/>
    <w:rsid w:val="004575A5"/>
    <w:rsid w:val="00457F54"/>
    <w:rsid w:val="004601FB"/>
    <w:rsid w:val="00461C6E"/>
    <w:rsid w:val="0046249A"/>
    <w:rsid w:val="00462A75"/>
    <w:rsid w:val="0046325D"/>
    <w:rsid w:val="004638AC"/>
    <w:rsid w:val="00463C40"/>
    <w:rsid w:val="00463E68"/>
    <w:rsid w:val="0046461D"/>
    <w:rsid w:val="0046489B"/>
    <w:rsid w:val="00464B3D"/>
    <w:rsid w:val="00464F11"/>
    <w:rsid w:val="00465BF2"/>
    <w:rsid w:val="00465DBC"/>
    <w:rsid w:val="004662B1"/>
    <w:rsid w:val="00466FC0"/>
    <w:rsid w:val="00470433"/>
    <w:rsid w:val="00470BA7"/>
    <w:rsid w:val="004712BE"/>
    <w:rsid w:val="00471CB8"/>
    <w:rsid w:val="004720E3"/>
    <w:rsid w:val="004723C7"/>
    <w:rsid w:val="00472565"/>
    <w:rsid w:val="00472950"/>
    <w:rsid w:val="004739FF"/>
    <w:rsid w:val="00473ADC"/>
    <w:rsid w:val="00473DD4"/>
    <w:rsid w:val="00473E6E"/>
    <w:rsid w:val="00475D91"/>
    <w:rsid w:val="00476836"/>
    <w:rsid w:val="004808E3"/>
    <w:rsid w:val="00481B31"/>
    <w:rsid w:val="00481BC5"/>
    <w:rsid w:val="004842B5"/>
    <w:rsid w:val="004843F1"/>
    <w:rsid w:val="00484447"/>
    <w:rsid w:val="00484563"/>
    <w:rsid w:val="004846CB"/>
    <w:rsid w:val="00485A15"/>
    <w:rsid w:val="00486EF0"/>
    <w:rsid w:val="00486F0C"/>
    <w:rsid w:val="004905B9"/>
    <w:rsid w:val="0049073E"/>
    <w:rsid w:val="00490C3A"/>
    <w:rsid w:val="00490C6E"/>
    <w:rsid w:val="004911D6"/>
    <w:rsid w:val="00491968"/>
    <w:rsid w:val="004926C4"/>
    <w:rsid w:val="00493DAF"/>
    <w:rsid w:val="00494059"/>
    <w:rsid w:val="0049416E"/>
    <w:rsid w:val="004941F1"/>
    <w:rsid w:val="004959A0"/>
    <w:rsid w:val="00495A16"/>
    <w:rsid w:val="00495B62"/>
    <w:rsid w:val="00495FF5"/>
    <w:rsid w:val="0049666F"/>
    <w:rsid w:val="00496798"/>
    <w:rsid w:val="00496CFB"/>
    <w:rsid w:val="0049784F"/>
    <w:rsid w:val="00497C2B"/>
    <w:rsid w:val="004A0135"/>
    <w:rsid w:val="004A05B9"/>
    <w:rsid w:val="004A0CA0"/>
    <w:rsid w:val="004A16A4"/>
    <w:rsid w:val="004A1870"/>
    <w:rsid w:val="004A29F8"/>
    <w:rsid w:val="004A2BCF"/>
    <w:rsid w:val="004A2D34"/>
    <w:rsid w:val="004A397C"/>
    <w:rsid w:val="004A4514"/>
    <w:rsid w:val="004A4D89"/>
    <w:rsid w:val="004A5352"/>
    <w:rsid w:val="004A5DA2"/>
    <w:rsid w:val="004A600D"/>
    <w:rsid w:val="004A66A3"/>
    <w:rsid w:val="004A716E"/>
    <w:rsid w:val="004A7701"/>
    <w:rsid w:val="004A7E63"/>
    <w:rsid w:val="004B0321"/>
    <w:rsid w:val="004B053A"/>
    <w:rsid w:val="004B1304"/>
    <w:rsid w:val="004B22C9"/>
    <w:rsid w:val="004B2894"/>
    <w:rsid w:val="004B2FDB"/>
    <w:rsid w:val="004B3003"/>
    <w:rsid w:val="004B36AC"/>
    <w:rsid w:val="004B48EB"/>
    <w:rsid w:val="004B502C"/>
    <w:rsid w:val="004B5AD3"/>
    <w:rsid w:val="004B5DE6"/>
    <w:rsid w:val="004B69C5"/>
    <w:rsid w:val="004B6A79"/>
    <w:rsid w:val="004B7E11"/>
    <w:rsid w:val="004C0D92"/>
    <w:rsid w:val="004C11E9"/>
    <w:rsid w:val="004C1884"/>
    <w:rsid w:val="004C1C3E"/>
    <w:rsid w:val="004C3556"/>
    <w:rsid w:val="004C3C11"/>
    <w:rsid w:val="004C47CE"/>
    <w:rsid w:val="004C4A58"/>
    <w:rsid w:val="004C4C70"/>
    <w:rsid w:val="004C5D96"/>
    <w:rsid w:val="004C65BD"/>
    <w:rsid w:val="004C6656"/>
    <w:rsid w:val="004C7133"/>
    <w:rsid w:val="004C7C9C"/>
    <w:rsid w:val="004C7FF1"/>
    <w:rsid w:val="004D0174"/>
    <w:rsid w:val="004D065E"/>
    <w:rsid w:val="004D0AE9"/>
    <w:rsid w:val="004D3C70"/>
    <w:rsid w:val="004D4F84"/>
    <w:rsid w:val="004D4FA9"/>
    <w:rsid w:val="004D57A6"/>
    <w:rsid w:val="004D5E3E"/>
    <w:rsid w:val="004D6CF8"/>
    <w:rsid w:val="004D6FE6"/>
    <w:rsid w:val="004E01E5"/>
    <w:rsid w:val="004E2528"/>
    <w:rsid w:val="004E25DF"/>
    <w:rsid w:val="004E35C2"/>
    <w:rsid w:val="004E4990"/>
    <w:rsid w:val="004E4C54"/>
    <w:rsid w:val="004E5FA2"/>
    <w:rsid w:val="004E6BCE"/>
    <w:rsid w:val="004E6CD8"/>
    <w:rsid w:val="004E6EAC"/>
    <w:rsid w:val="004E6F99"/>
    <w:rsid w:val="004E76B0"/>
    <w:rsid w:val="004E7EE1"/>
    <w:rsid w:val="004F05F9"/>
    <w:rsid w:val="004F256D"/>
    <w:rsid w:val="004F2AF1"/>
    <w:rsid w:val="004F2D8C"/>
    <w:rsid w:val="004F33AB"/>
    <w:rsid w:val="004F3798"/>
    <w:rsid w:val="004F3D60"/>
    <w:rsid w:val="004F4723"/>
    <w:rsid w:val="004F49C4"/>
    <w:rsid w:val="004F4E46"/>
    <w:rsid w:val="004F5005"/>
    <w:rsid w:val="004F5ABE"/>
    <w:rsid w:val="004F6551"/>
    <w:rsid w:val="004F6F7F"/>
    <w:rsid w:val="004F76E6"/>
    <w:rsid w:val="005005E9"/>
    <w:rsid w:val="005012FB"/>
    <w:rsid w:val="00502FBF"/>
    <w:rsid w:val="00505771"/>
    <w:rsid w:val="00506D76"/>
    <w:rsid w:val="005076CF"/>
    <w:rsid w:val="005101D3"/>
    <w:rsid w:val="00510A8C"/>
    <w:rsid w:val="0051260E"/>
    <w:rsid w:val="00512B40"/>
    <w:rsid w:val="00512BD3"/>
    <w:rsid w:val="00513DDB"/>
    <w:rsid w:val="0051477B"/>
    <w:rsid w:val="0051480F"/>
    <w:rsid w:val="00516046"/>
    <w:rsid w:val="005168EE"/>
    <w:rsid w:val="00516B0D"/>
    <w:rsid w:val="00516C4F"/>
    <w:rsid w:val="005176F3"/>
    <w:rsid w:val="00517DAC"/>
    <w:rsid w:val="005209D0"/>
    <w:rsid w:val="00521E5F"/>
    <w:rsid w:val="005225E9"/>
    <w:rsid w:val="00522B12"/>
    <w:rsid w:val="00524113"/>
    <w:rsid w:val="00525817"/>
    <w:rsid w:val="00525DF8"/>
    <w:rsid w:val="00526458"/>
    <w:rsid w:val="00526F41"/>
    <w:rsid w:val="0052729D"/>
    <w:rsid w:val="00527EC5"/>
    <w:rsid w:val="005300DA"/>
    <w:rsid w:val="00530B5E"/>
    <w:rsid w:val="0053166D"/>
    <w:rsid w:val="005318F1"/>
    <w:rsid w:val="005328EE"/>
    <w:rsid w:val="005332EC"/>
    <w:rsid w:val="00534771"/>
    <w:rsid w:val="005347FF"/>
    <w:rsid w:val="00534B66"/>
    <w:rsid w:val="0053598C"/>
    <w:rsid w:val="00537DA1"/>
    <w:rsid w:val="00537EDD"/>
    <w:rsid w:val="00542921"/>
    <w:rsid w:val="00542E37"/>
    <w:rsid w:val="00543176"/>
    <w:rsid w:val="00543472"/>
    <w:rsid w:val="005444C2"/>
    <w:rsid w:val="00544EB2"/>
    <w:rsid w:val="005454C6"/>
    <w:rsid w:val="00545516"/>
    <w:rsid w:val="00545767"/>
    <w:rsid w:val="00545CDE"/>
    <w:rsid w:val="00546297"/>
    <w:rsid w:val="005473E5"/>
    <w:rsid w:val="00547425"/>
    <w:rsid w:val="005479F2"/>
    <w:rsid w:val="00550766"/>
    <w:rsid w:val="00551034"/>
    <w:rsid w:val="00551652"/>
    <w:rsid w:val="00552074"/>
    <w:rsid w:val="00552DB9"/>
    <w:rsid w:val="005535D7"/>
    <w:rsid w:val="005543C8"/>
    <w:rsid w:val="00554FA4"/>
    <w:rsid w:val="005612E6"/>
    <w:rsid w:val="00562364"/>
    <w:rsid w:val="00563826"/>
    <w:rsid w:val="00563880"/>
    <w:rsid w:val="00563B69"/>
    <w:rsid w:val="00563D16"/>
    <w:rsid w:val="00564DE2"/>
    <w:rsid w:val="005657C2"/>
    <w:rsid w:val="0056609E"/>
    <w:rsid w:val="00566486"/>
    <w:rsid w:val="00567370"/>
    <w:rsid w:val="00570ACC"/>
    <w:rsid w:val="00570BD7"/>
    <w:rsid w:val="00570E18"/>
    <w:rsid w:val="005712D7"/>
    <w:rsid w:val="005720E5"/>
    <w:rsid w:val="00573FDE"/>
    <w:rsid w:val="005740B6"/>
    <w:rsid w:val="00574843"/>
    <w:rsid w:val="005752B2"/>
    <w:rsid w:val="00575DBB"/>
    <w:rsid w:val="005761CA"/>
    <w:rsid w:val="0057689C"/>
    <w:rsid w:val="00577C13"/>
    <w:rsid w:val="00580888"/>
    <w:rsid w:val="005825E9"/>
    <w:rsid w:val="00583BA4"/>
    <w:rsid w:val="005844B2"/>
    <w:rsid w:val="00584E6D"/>
    <w:rsid w:val="00585135"/>
    <w:rsid w:val="00585163"/>
    <w:rsid w:val="005856D4"/>
    <w:rsid w:val="005860ED"/>
    <w:rsid w:val="005866A7"/>
    <w:rsid w:val="005871DD"/>
    <w:rsid w:val="00590AAB"/>
    <w:rsid w:val="00591602"/>
    <w:rsid w:val="00594CFB"/>
    <w:rsid w:val="00596E70"/>
    <w:rsid w:val="00596F4A"/>
    <w:rsid w:val="005A02CC"/>
    <w:rsid w:val="005A0314"/>
    <w:rsid w:val="005A0435"/>
    <w:rsid w:val="005A15B5"/>
    <w:rsid w:val="005A16FB"/>
    <w:rsid w:val="005A2072"/>
    <w:rsid w:val="005A23E6"/>
    <w:rsid w:val="005A3743"/>
    <w:rsid w:val="005A4925"/>
    <w:rsid w:val="005A4931"/>
    <w:rsid w:val="005A4D41"/>
    <w:rsid w:val="005A4D8E"/>
    <w:rsid w:val="005A4E42"/>
    <w:rsid w:val="005A559D"/>
    <w:rsid w:val="005A56FE"/>
    <w:rsid w:val="005A5BE1"/>
    <w:rsid w:val="005A6187"/>
    <w:rsid w:val="005A697E"/>
    <w:rsid w:val="005B04F0"/>
    <w:rsid w:val="005B0DC0"/>
    <w:rsid w:val="005B234D"/>
    <w:rsid w:val="005B4113"/>
    <w:rsid w:val="005B4521"/>
    <w:rsid w:val="005B4CBB"/>
    <w:rsid w:val="005B5A1F"/>
    <w:rsid w:val="005B6607"/>
    <w:rsid w:val="005B6714"/>
    <w:rsid w:val="005B69E5"/>
    <w:rsid w:val="005B6E62"/>
    <w:rsid w:val="005B7229"/>
    <w:rsid w:val="005B781F"/>
    <w:rsid w:val="005C0330"/>
    <w:rsid w:val="005C0892"/>
    <w:rsid w:val="005C10CA"/>
    <w:rsid w:val="005C3FF2"/>
    <w:rsid w:val="005C4368"/>
    <w:rsid w:val="005C47DB"/>
    <w:rsid w:val="005C57AD"/>
    <w:rsid w:val="005C5885"/>
    <w:rsid w:val="005C6918"/>
    <w:rsid w:val="005C71AC"/>
    <w:rsid w:val="005C7450"/>
    <w:rsid w:val="005D0BF9"/>
    <w:rsid w:val="005D0FA3"/>
    <w:rsid w:val="005D294D"/>
    <w:rsid w:val="005D2AA0"/>
    <w:rsid w:val="005D2D99"/>
    <w:rsid w:val="005D2F16"/>
    <w:rsid w:val="005D318E"/>
    <w:rsid w:val="005D3814"/>
    <w:rsid w:val="005D3E99"/>
    <w:rsid w:val="005D3F87"/>
    <w:rsid w:val="005D4303"/>
    <w:rsid w:val="005D4A5F"/>
    <w:rsid w:val="005D4C1D"/>
    <w:rsid w:val="005D4D3A"/>
    <w:rsid w:val="005D6A91"/>
    <w:rsid w:val="005E017A"/>
    <w:rsid w:val="005E2B52"/>
    <w:rsid w:val="005E2BF4"/>
    <w:rsid w:val="005E318C"/>
    <w:rsid w:val="005E37D3"/>
    <w:rsid w:val="005E3AFE"/>
    <w:rsid w:val="005E3D5D"/>
    <w:rsid w:val="005E507F"/>
    <w:rsid w:val="005E5A17"/>
    <w:rsid w:val="005E5EEA"/>
    <w:rsid w:val="005E6138"/>
    <w:rsid w:val="005E6199"/>
    <w:rsid w:val="005E6627"/>
    <w:rsid w:val="005E6893"/>
    <w:rsid w:val="005E6E79"/>
    <w:rsid w:val="005E7689"/>
    <w:rsid w:val="005F0C89"/>
    <w:rsid w:val="005F1598"/>
    <w:rsid w:val="005F1F0C"/>
    <w:rsid w:val="005F3A7F"/>
    <w:rsid w:val="005F483C"/>
    <w:rsid w:val="005F54EE"/>
    <w:rsid w:val="005F652C"/>
    <w:rsid w:val="005F7BB1"/>
    <w:rsid w:val="005F7F05"/>
    <w:rsid w:val="006012B7"/>
    <w:rsid w:val="006016C2"/>
    <w:rsid w:val="00603CC9"/>
    <w:rsid w:val="0060410F"/>
    <w:rsid w:val="00604E16"/>
    <w:rsid w:val="00604F2F"/>
    <w:rsid w:val="00605AF9"/>
    <w:rsid w:val="006060F1"/>
    <w:rsid w:val="006063D2"/>
    <w:rsid w:val="00606795"/>
    <w:rsid w:val="006068B0"/>
    <w:rsid w:val="00606FAD"/>
    <w:rsid w:val="00610597"/>
    <w:rsid w:val="00610BAB"/>
    <w:rsid w:val="00611A20"/>
    <w:rsid w:val="00611E95"/>
    <w:rsid w:val="0061361A"/>
    <w:rsid w:val="00613BAA"/>
    <w:rsid w:val="00613C4D"/>
    <w:rsid w:val="00613C94"/>
    <w:rsid w:val="00613DC6"/>
    <w:rsid w:val="006145AC"/>
    <w:rsid w:val="0061475B"/>
    <w:rsid w:val="00615046"/>
    <w:rsid w:val="006155D1"/>
    <w:rsid w:val="006159D2"/>
    <w:rsid w:val="006165D1"/>
    <w:rsid w:val="00617C99"/>
    <w:rsid w:val="00620110"/>
    <w:rsid w:val="00620BF8"/>
    <w:rsid w:val="00621A18"/>
    <w:rsid w:val="00621AE1"/>
    <w:rsid w:val="006223DF"/>
    <w:rsid w:val="006224DB"/>
    <w:rsid w:val="00623BC9"/>
    <w:rsid w:val="00623BEC"/>
    <w:rsid w:val="0062421F"/>
    <w:rsid w:val="00624589"/>
    <w:rsid w:val="006261B6"/>
    <w:rsid w:val="00627D5C"/>
    <w:rsid w:val="00630558"/>
    <w:rsid w:val="0063147D"/>
    <w:rsid w:val="00632321"/>
    <w:rsid w:val="006340C5"/>
    <w:rsid w:val="0063512C"/>
    <w:rsid w:val="00635441"/>
    <w:rsid w:val="00636F70"/>
    <w:rsid w:val="0063734E"/>
    <w:rsid w:val="00637CD0"/>
    <w:rsid w:val="006401BC"/>
    <w:rsid w:val="006401F8"/>
    <w:rsid w:val="00640D3F"/>
    <w:rsid w:val="00641756"/>
    <w:rsid w:val="00641B81"/>
    <w:rsid w:val="006426B9"/>
    <w:rsid w:val="00642A26"/>
    <w:rsid w:val="00642D6C"/>
    <w:rsid w:val="006443E7"/>
    <w:rsid w:val="006447D7"/>
    <w:rsid w:val="00644996"/>
    <w:rsid w:val="00644C5F"/>
    <w:rsid w:val="00644E3A"/>
    <w:rsid w:val="00650136"/>
    <w:rsid w:val="00650F1C"/>
    <w:rsid w:val="00651486"/>
    <w:rsid w:val="00651EEB"/>
    <w:rsid w:val="00652494"/>
    <w:rsid w:val="00652BAC"/>
    <w:rsid w:val="00652D47"/>
    <w:rsid w:val="00652FD4"/>
    <w:rsid w:val="006542A3"/>
    <w:rsid w:val="00654461"/>
    <w:rsid w:val="006557B3"/>
    <w:rsid w:val="00655A47"/>
    <w:rsid w:val="0065658C"/>
    <w:rsid w:val="006568FB"/>
    <w:rsid w:val="00656BDB"/>
    <w:rsid w:val="0065727B"/>
    <w:rsid w:val="006611B4"/>
    <w:rsid w:val="00661442"/>
    <w:rsid w:val="00662B4B"/>
    <w:rsid w:val="00664451"/>
    <w:rsid w:val="006645CF"/>
    <w:rsid w:val="00664D0C"/>
    <w:rsid w:val="00665E89"/>
    <w:rsid w:val="00666021"/>
    <w:rsid w:val="00667E81"/>
    <w:rsid w:val="00670113"/>
    <w:rsid w:val="0067012C"/>
    <w:rsid w:val="006705E1"/>
    <w:rsid w:val="00670EB3"/>
    <w:rsid w:val="00671551"/>
    <w:rsid w:val="00671AAA"/>
    <w:rsid w:val="00672638"/>
    <w:rsid w:val="0067291F"/>
    <w:rsid w:val="00673EA2"/>
    <w:rsid w:val="00674819"/>
    <w:rsid w:val="00674B00"/>
    <w:rsid w:val="00675A62"/>
    <w:rsid w:val="00675B79"/>
    <w:rsid w:val="00675E94"/>
    <w:rsid w:val="006773F9"/>
    <w:rsid w:val="00677668"/>
    <w:rsid w:val="00677F0A"/>
    <w:rsid w:val="00681474"/>
    <w:rsid w:val="00681767"/>
    <w:rsid w:val="00681A90"/>
    <w:rsid w:val="00683630"/>
    <w:rsid w:val="006836CD"/>
    <w:rsid w:val="006838BE"/>
    <w:rsid w:val="00683CD4"/>
    <w:rsid w:val="00683FF3"/>
    <w:rsid w:val="0068405A"/>
    <w:rsid w:val="00684478"/>
    <w:rsid w:val="006848B1"/>
    <w:rsid w:val="00684E9D"/>
    <w:rsid w:val="00685454"/>
    <w:rsid w:val="00690138"/>
    <w:rsid w:val="006908CB"/>
    <w:rsid w:val="006911B5"/>
    <w:rsid w:val="0069125C"/>
    <w:rsid w:val="0069144C"/>
    <w:rsid w:val="00691F7C"/>
    <w:rsid w:val="006924BD"/>
    <w:rsid w:val="00692B64"/>
    <w:rsid w:val="006930D8"/>
    <w:rsid w:val="006931BE"/>
    <w:rsid w:val="00693699"/>
    <w:rsid w:val="006938D3"/>
    <w:rsid w:val="00694C02"/>
    <w:rsid w:val="006958B6"/>
    <w:rsid w:val="00695B03"/>
    <w:rsid w:val="00695CD8"/>
    <w:rsid w:val="006961FF"/>
    <w:rsid w:val="006969C8"/>
    <w:rsid w:val="006969E9"/>
    <w:rsid w:val="0069765F"/>
    <w:rsid w:val="00697E82"/>
    <w:rsid w:val="006A11BB"/>
    <w:rsid w:val="006A1BA0"/>
    <w:rsid w:val="006A23BB"/>
    <w:rsid w:val="006A2B18"/>
    <w:rsid w:val="006A318B"/>
    <w:rsid w:val="006A4BE6"/>
    <w:rsid w:val="006A516B"/>
    <w:rsid w:val="006A5E24"/>
    <w:rsid w:val="006A63D5"/>
    <w:rsid w:val="006A69CA"/>
    <w:rsid w:val="006B0517"/>
    <w:rsid w:val="006B06EB"/>
    <w:rsid w:val="006B0B7E"/>
    <w:rsid w:val="006B124B"/>
    <w:rsid w:val="006B13E1"/>
    <w:rsid w:val="006B14C8"/>
    <w:rsid w:val="006B1CF9"/>
    <w:rsid w:val="006B1DB5"/>
    <w:rsid w:val="006B1EB1"/>
    <w:rsid w:val="006B2668"/>
    <w:rsid w:val="006B3FC6"/>
    <w:rsid w:val="006B41E7"/>
    <w:rsid w:val="006B477A"/>
    <w:rsid w:val="006B555D"/>
    <w:rsid w:val="006B5C91"/>
    <w:rsid w:val="006B6AAB"/>
    <w:rsid w:val="006B7066"/>
    <w:rsid w:val="006B7271"/>
    <w:rsid w:val="006C0169"/>
    <w:rsid w:val="006C1906"/>
    <w:rsid w:val="006C4C41"/>
    <w:rsid w:val="006C4C77"/>
    <w:rsid w:val="006C4FF7"/>
    <w:rsid w:val="006C6530"/>
    <w:rsid w:val="006C70F2"/>
    <w:rsid w:val="006C75E2"/>
    <w:rsid w:val="006C7ED3"/>
    <w:rsid w:val="006D0CF5"/>
    <w:rsid w:val="006D0F5D"/>
    <w:rsid w:val="006D0F64"/>
    <w:rsid w:val="006D11CA"/>
    <w:rsid w:val="006D14D1"/>
    <w:rsid w:val="006D29AD"/>
    <w:rsid w:val="006D317F"/>
    <w:rsid w:val="006D34DF"/>
    <w:rsid w:val="006D48AE"/>
    <w:rsid w:val="006D5915"/>
    <w:rsid w:val="006D5968"/>
    <w:rsid w:val="006D731F"/>
    <w:rsid w:val="006D7D59"/>
    <w:rsid w:val="006E0006"/>
    <w:rsid w:val="006E09C9"/>
    <w:rsid w:val="006E0E27"/>
    <w:rsid w:val="006E1C6C"/>
    <w:rsid w:val="006E26B7"/>
    <w:rsid w:val="006E2C9D"/>
    <w:rsid w:val="006E3842"/>
    <w:rsid w:val="006E48A9"/>
    <w:rsid w:val="006E5698"/>
    <w:rsid w:val="006E7955"/>
    <w:rsid w:val="006E795D"/>
    <w:rsid w:val="006F0EB6"/>
    <w:rsid w:val="006F1D52"/>
    <w:rsid w:val="006F1F4C"/>
    <w:rsid w:val="006F20EF"/>
    <w:rsid w:val="006F2162"/>
    <w:rsid w:val="006F2353"/>
    <w:rsid w:val="006F2B9C"/>
    <w:rsid w:val="006F3067"/>
    <w:rsid w:val="006F3AEA"/>
    <w:rsid w:val="006F5702"/>
    <w:rsid w:val="006F5FEE"/>
    <w:rsid w:val="006F6DFC"/>
    <w:rsid w:val="006F7269"/>
    <w:rsid w:val="006F788C"/>
    <w:rsid w:val="006F7A25"/>
    <w:rsid w:val="007000A0"/>
    <w:rsid w:val="007003CA"/>
    <w:rsid w:val="0070165C"/>
    <w:rsid w:val="00701F7E"/>
    <w:rsid w:val="007047FD"/>
    <w:rsid w:val="007049BB"/>
    <w:rsid w:val="007056FF"/>
    <w:rsid w:val="00705F2B"/>
    <w:rsid w:val="00706EE6"/>
    <w:rsid w:val="00707583"/>
    <w:rsid w:val="007076D3"/>
    <w:rsid w:val="00707A01"/>
    <w:rsid w:val="00710B26"/>
    <w:rsid w:val="0071159A"/>
    <w:rsid w:val="00713E0E"/>
    <w:rsid w:val="00714407"/>
    <w:rsid w:val="00714934"/>
    <w:rsid w:val="00715A75"/>
    <w:rsid w:val="00716CC4"/>
    <w:rsid w:val="0071740D"/>
    <w:rsid w:val="0072070F"/>
    <w:rsid w:val="00721E78"/>
    <w:rsid w:val="0072212A"/>
    <w:rsid w:val="0072282F"/>
    <w:rsid w:val="007233CA"/>
    <w:rsid w:val="00723464"/>
    <w:rsid w:val="007236F1"/>
    <w:rsid w:val="007242DC"/>
    <w:rsid w:val="00724B6D"/>
    <w:rsid w:val="00724B8E"/>
    <w:rsid w:val="00725A6C"/>
    <w:rsid w:val="0072666B"/>
    <w:rsid w:val="007269E0"/>
    <w:rsid w:val="00726AF5"/>
    <w:rsid w:val="00726C82"/>
    <w:rsid w:val="00730FAC"/>
    <w:rsid w:val="0073149B"/>
    <w:rsid w:val="00731730"/>
    <w:rsid w:val="007326C8"/>
    <w:rsid w:val="00733A17"/>
    <w:rsid w:val="00733AB5"/>
    <w:rsid w:val="00734081"/>
    <w:rsid w:val="007340C3"/>
    <w:rsid w:val="0073487A"/>
    <w:rsid w:val="00735C78"/>
    <w:rsid w:val="007362BC"/>
    <w:rsid w:val="00736466"/>
    <w:rsid w:val="00736FF2"/>
    <w:rsid w:val="00740AC3"/>
    <w:rsid w:val="0074161E"/>
    <w:rsid w:val="00742C86"/>
    <w:rsid w:val="00743863"/>
    <w:rsid w:val="007438BB"/>
    <w:rsid w:val="00743E55"/>
    <w:rsid w:val="007440BB"/>
    <w:rsid w:val="007445A7"/>
    <w:rsid w:val="0074473A"/>
    <w:rsid w:val="007453BB"/>
    <w:rsid w:val="007457A8"/>
    <w:rsid w:val="00746FB5"/>
    <w:rsid w:val="00751216"/>
    <w:rsid w:val="00751D1F"/>
    <w:rsid w:val="00751E3B"/>
    <w:rsid w:val="00754626"/>
    <w:rsid w:val="0075485B"/>
    <w:rsid w:val="007548D2"/>
    <w:rsid w:val="0075522E"/>
    <w:rsid w:val="00755B22"/>
    <w:rsid w:val="00757087"/>
    <w:rsid w:val="0075747B"/>
    <w:rsid w:val="00757EF1"/>
    <w:rsid w:val="00760FB7"/>
    <w:rsid w:val="007612FA"/>
    <w:rsid w:val="007613FD"/>
    <w:rsid w:val="0076221B"/>
    <w:rsid w:val="007632AD"/>
    <w:rsid w:val="00763461"/>
    <w:rsid w:val="00763B6D"/>
    <w:rsid w:val="0076410B"/>
    <w:rsid w:val="0076411F"/>
    <w:rsid w:val="00765B89"/>
    <w:rsid w:val="0076708D"/>
    <w:rsid w:val="007674F0"/>
    <w:rsid w:val="00767AA4"/>
    <w:rsid w:val="00773289"/>
    <w:rsid w:val="00774B02"/>
    <w:rsid w:val="0077682E"/>
    <w:rsid w:val="00776C41"/>
    <w:rsid w:val="00776F0B"/>
    <w:rsid w:val="007773E9"/>
    <w:rsid w:val="00777DFE"/>
    <w:rsid w:val="00780BCD"/>
    <w:rsid w:val="00781397"/>
    <w:rsid w:val="007817C4"/>
    <w:rsid w:val="0078212F"/>
    <w:rsid w:val="00783814"/>
    <w:rsid w:val="00783E14"/>
    <w:rsid w:val="00784171"/>
    <w:rsid w:val="0078561F"/>
    <w:rsid w:val="00785A34"/>
    <w:rsid w:val="00785B05"/>
    <w:rsid w:val="00785BCC"/>
    <w:rsid w:val="007870F5"/>
    <w:rsid w:val="00787191"/>
    <w:rsid w:val="0078751E"/>
    <w:rsid w:val="00787BE3"/>
    <w:rsid w:val="00787C65"/>
    <w:rsid w:val="007904EF"/>
    <w:rsid w:val="00791359"/>
    <w:rsid w:val="00791946"/>
    <w:rsid w:val="00791FDC"/>
    <w:rsid w:val="007924DA"/>
    <w:rsid w:val="00792736"/>
    <w:rsid w:val="00792A2D"/>
    <w:rsid w:val="00793B60"/>
    <w:rsid w:val="00794628"/>
    <w:rsid w:val="00796935"/>
    <w:rsid w:val="00797660"/>
    <w:rsid w:val="00797FD0"/>
    <w:rsid w:val="007A05AE"/>
    <w:rsid w:val="007A1101"/>
    <w:rsid w:val="007A17E2"/>
    <w:rsid w:val="007A18E9"/>
    <w:rsid w:val="007A32EB"/>
    <w:rsid w:val="007A4B88"/>
    <w:rsid w:val="007A4BF9"/>
    <w:rsid w:val="007A623A"/>
    <w:rsid w:val="007A66B7"/>
    <w:rsid w:val="007A6881"/>
    <w:rsid w:val="007A756F"/>
    <w:rsid w:val="007B1A9C"/>
    <w:rsid w:val="007B1F29"/>
    <w:rsid w:val="007B247B"/>
    <w:rsid w:val="007B39CB"/>
    <w:rsid w:val="007B4964"/>
    <w:rsid w:val="007B4E74"/>
    <w:rsid w:val="007B5E79"/>
    <w:rsid w:val="007B6393"/>
    <w:rsid w:val="007B6D46"/>
    <w:rsid w:val="007C0D44"/>
    <w:rsid w:val="007C162D"/>
    <w:rsid w:val="007C2BF3"/>
    <w:rsid w:val="007C2F4D"/>
    <w:rsid w:val="007C3083"/>
    <w:rsid w:val="007C572C"/>
    <w:rsid w:val="007C5F68"/>
    <w:rsid w:val="007C5F9B"/>
    <w:rsid w:val="007C6BB9"/>
    <w:rsid w:val="007D0BB2"/>
    <w:rsid w:val="007D1019"/>
    <w:rsid w:val="007D23A8"/>
    <w:rsid w:val="007D25D2"/>
    <w:rsid w:val="007D2763"/>
    <w:rsid w:val="007D3542"/>
    <w:rsid w:val="007D4774"/>
    <w:rsid w:val="007D5ABC"/>
    <w:rsid w:val="007D6121"/>
    <w:rsid w:val="007D7155"/>
    <w:rsid w:val="007D7304"/>
    <w:rsid w:val="007D7BC8"/>
    <w:rsid w:val="007E0345"/>
    <w:rsid w:val="007E099C"/>
    <w:rsid w:val="007E24F1"/>
    <w:rsid w:val="007E259C"/>
    <w:rsid w:val="007E3C55"/>
    <w:rsid w:val="007E3F51"/>
    <w:rsid w:val="007E42A5"/>
    <w:rsid w:val="007E4F26"/>
    <w:rsid w:val="007E5CA9"/>
    <w:rsid w:val="007E7876"/>
    <w:rsid w:val="007F033B"/>
    <w:rsid w:val="007F085B"/>
    <w:rsid w:val="007F13E7"/>
    <w:rsid w:val="007F26F3"/>
    <w:rsid w:val="007F3657"/>
    <w:rsid w:val="007F37C6"/>
    <w:rsid w:val="007F3AE8"/>
    <w:rsid w:val="007F48C7"/>
    <w:rsid w:val="007F5D21"/>
    <w:rsid w:val="007F6033"/>
    <w:rsid w:val="007F60A2"/>
    <w:rsid w:val="007F6538"/>
    <w:rsid w:val="007F6C61"/>
    <w:rsid w:val="007F79C0"/>
    <w:rsid w:val="008005CA"/>
    <w:rsid w:val="00800FC9"/>
    <w:rsid w:val="008032FF"/>
    <w:rsid w:val="00803D1E"/>
    <w:rsid w:val="008046AE"/>
    <w:rsid w:val="0080497C"/>
    <w:rsid w:val="00804B0C"/>
    <w:rsid w:val="00805054"/>
    <w:rsid w:val="00805DB1"/>
    <w:rsid w:val="00806580"/>
    <w:rsid w:val="0080664D"/>
    <w:rsid w:val="008108A6"/>
    <w:rsid w:val="0081188F"/>
    <w:rsid w:val="00811CDD"/>
    <w:rsid w:val="00812733"/>
    <w:rsid w:val="00812D1B"/>
    <w:rsid w:val="00814B8D"/>
    <w:rsid w:val="00814CE4"/>
    <w:rsid w:val="00815953"/>
    <w:rsid w:val="00815B66"/>
    <w:rsid w:val="00815D26"/>
    <w:rsid w:val="008162D9"/>
    <w:rsid w:val="00817254"/>
    <w:rsid w:val="0082258F"/>
    <w:rsid w:val="00822D06"/>
    <w:rsid w:val="00823213"/>
    <w:rsid w:val="008249AF"/>
    <w:rsid w:val="00824E8F"/>
    <w:rsid w:val="008252BD"/>
    <w:rsid w:val="008270DA"/>
    <w:rsid w:val="00827492"/>
    <w:rsid w:val="00827651"/>
    <w:rsid w:val="00827762"/>
    <w:rsid w:val="00827C37"/>
    <w:rsid w:val="00830673"/>
    <w:rsid w:val="00830729"/>
    <w:rsid w:val="008314A1"/>
    <w:rsid w:val="00831577"/>
    <w:rsid w:val="00831CA9"/>
    <w:rsid w:val="0083257A"/>
    <w:rsid w:val="00832855"/>
    <w:rsid w:val="00832A3D"/>
    <w:rsid w:val="00832DC7"/>
    <w:rsid w:val="0083302F"/>
    <w:rsid w:val="0083327A"/>
    <w:rsid w:val="00833DDB"/>
    <w:rsid w:val="008340CA"/>
    <w:rsid w:val="00835E3A"/>
    <w:rsid w:val="00835ECB"/>
    <w:rsid w:val="008366A3"/>
    <w:rsid w:val="00836E59"/>
    <w:rsid w:val="0083701C"/>
    <w:rsid w:val="008371B7"/>
    <w:rsid w:val="0083752D"/>
    <w:rsid w:val="008375D4"/>
    <w:rsid w:val="008376D0"/>
    <w:rsid w:val="0084113B"/>
    <w:rsid w:val="00841337"/>
    <w:rsid w:val="0084204D"/>
    <w:rsid w:val="00842D19"/>
    <w:rsid w:val="00843B31"/>
    <w:rsid w:val="00844480"/>
    <w:rsid w:val="008449A4"/>
    <w:rsid w:val="0084511F"/>
    <w:rsid w:val="00845366"/>
    <w:rsid w:val="0084639B"/>
    <w:rsid w:val="008468BE"/>
    <w:rsid w:val="00847228"/>
    <w:rsid w:val="00847BBB"/>
    <w:rsid w:val="00850A0C"/>
    <w:rsid w:val="008515BC"/>
    <w:rsid w:val="00852259"/>
    <w:rsid w:val="00852972"/>
    <w:rsid w:val="00852EE5"/>
    <w:rsid w:val="00853753"/>
    <w:rsid w:val="008547F9"/>
    <w:rsid w:val="00854B9D"/>
    <w:rsid w:val="00854CA6"/>
    <w:rsid w:val="00855D08"/>
    <w:rsid w:val="00857514"/>
    <w:rsid w:val="00861F87"/>
    <w:rsid w:val="008624F6"/>
    <w:rsid w:val="00862F77"/>
    <w:rsid w:val="008633D4"/>
    <w:rsid w:val="00863CA3"/>
    <w:rsid w:val="00863F22"/>
    <w:rsid w:val="00864500"/>
    <w:rsid w:val="00865C9A"/>
    <w:rsid w:val="00866A4A"/>
    <w:rsid w:val="00866D47"/>
    <w:rsid w:val="00867F47"/>
    <w:rsid w:val="0087009E"/>
    <w:rsid w:val="00870AFD"/>
    <w:rsid w:val="00870B20"/>
    <w:rsid w:val="00871374"/>
    <w:rsid w:val="00872056"/>
    <w:rsid w:val="00872223"/>
    <w:rsid w:val="00872B77"/>
    <w:rsid w:val="00874300"/>
    <w:rsid w:val="008748BB"/>
    <w:rsid w:val="00876A3C"/>
    <w:rsid w:val="00876F4D"/>
    <w:rsid w:val="00877876"/>
    <w:rsid w:val="00877CE9"/>
    <w:rsid w:val="00880A5E"/>
    <w:rsid w:val="00880D89"/>
    <w:rsid w:val="0088126F"/>
    <w:rsid w:val="00881B65"/>
    <w:rsid w:val="00883DB5"/>
    <w:rsid w:val="0088406E"/>
    <w:rsid w:val="008843B4"/>
    <w:rsid w:val="00884EFB"/>
    <w:rsid w:val="0088568F"/>
    <w:rsid w:val="00885C00"/>
    <w:rsid w:val="00887158"/>
    <w:rsid w:val="00890EA9"/>
    <w:rsid w:val="008910D8"/>
    <w:rsid w:val="008912EE"/>
    <w:rsid w:val="0089151C"/>
    <w:rsid w:val="00892C73"/>
    <w:rsid w:val="008932CE"/>
    <w:rsid w:val="008933D1"/>
    <w:rsid w:val="008935AF"/>
    <w:rsid w:val="008948BB"/>
    <w:rsid w:val="008958E6"/>
    <w:rsid w:val="00895D0D"/>
    <w:rsid w:val="0089613A"/>
    <w:rsid w:val="00896DDA"/>
    <w:rsid w:val="00896DE0"/>
    <w:rsid w:val="008A175E"/>
    <w:rsid w:val="008A2CBE"/>
    <w:rsid w:val="008A4958"/>
    <w:rsid w:val="008A4ADA"/>
    <w:rsid w:val="008A4CE8"/>
    <w:rsid w:val="008A57B2"/>
    <w:rsid w:val="008A5DC3"/>
    <w:rsid w:val="008A65CD"/>
    <w:rsid w:val="008A6EC5"/>
    <w:rsid w:val="008A70E2"/>
    <w:rsid w:val="008A7157"/>
    <w:rsid w:val="008B002E"/>
    <w:rsid w:val="008B054B"/>
    <w:rsid w:val="008B0AF4"/>
    <w:rsid w:val="008B1010"/>
    <w:rsid w:val="008B191E"/>
    <w:rsid w:val="008B2217"/>
    <w:rsid w:val="008B2EB4"/>
    <w:rsid w:val="008B39AC"/>
    <w:rsid w:val="008B466E"/>
    <w:rsid w:val="008B49D9"/>
    <w:rsid w:val="008B4C91"/>
    <w:rsid w:val="008B4F2B"/>
    <w:rsid w:val="008B51E5"/>
    <w:rsid w:val="008B5CD9"/>
    <w:rsid w:val="008B630E"/>
    <w:rsid w:val="008B72B3"/>
    <w:rsid w:val="008B7C28"/>
    <w:rsid w:val="008B7D4B"/>
    <w:rsid w:val="008C01A2"/>
    <w:rsid w:val="008C04D8"/>
    <w:rsid w:val="008C195B"/>
    <w:rsid w:val="008C241B"/>
    <w:rsid w:val="008C3677"/>
    <w:rsid w:val="008C380B"/>
    <w:rsid w:val="008C3EAD"/>
    <w:rsid w:val="008C4C5C"/>
    <w:rsid w:val="008C5CF0"/>
    <w:rsid w:val="008C613A"/>
    <w:rsid w:val="008C6277"/>
    <w:rsid w:val="008C667B"/>
    <w:rsid w:val="008C7C21"/>
    <w:rsid w:val="008C7E90"/>
    <w:rsid w:val="008D055C"/>
    <w:rsid w:val="008D0EDF"/>
    <w:rsid w:val="008D1161"/>
    <w:rsid w:val="008D15EB"/>
    <w:rsid w:val="008D1B06"/>
    <w:rsid w:val="008D1C67"/>
    <w:rsid w:val="008D1CF4"/>
    <w:rsid w:val="008D1D2A"/>
    <w:rsid w:val="008D3649"/>
    <w:rsid w:val="008D44F6"/>
    <w:rsid w:val="008D47D5"/>
    <w:rsid w:val="008D507A"/>
    <w:rsid w:val="008D5521"/>
    <w:rsid w:val="008D661E"/>
    <w:rsid w:val="008D7B08"/>
    <w:rsid w:val="008E0A69"/>
    <w:rsid w:val="008E0C5F"/>
    <w:rsid w:val="008E111A"/>
    <w:rsid w:val="008E2558"/>
    <w:rsid w:val="008E2B95"/>
    <w:rsid w:val="008E37F6"/>
    <w:rsid w:val="008E3D67"/>
    <w:rsid w:val="008E5C3A"/>
    <w:rsid w:val="008E5F97"/>
    <w:rsid w:val="008E6E5C"/>
    <w:rsid w:val="008E7F83"/>
    <w:rsid w:val="008F02A5"/>
    <w:rsid w:val="008F1804"/>
    <w:rsid w:val="008F2636"/>
    <w:rsid w:val="008F373B"/>
    <w:rsid w:val="008F3928"/>
    <w:rsid w:val="008F3B35"/>
    <w:rsid w:val="008F3CBA"/>
    <w:rsid w:val="008F4B49"/>
    <w:rsid w:val="008F4E33"/>
    <w:rsid w:val="008F52A2"/>
    <w:rsid w:val="008F6289"/>
    <w:rsid w:val="008F6594"/>
    <w:rsid w:val="008F68AF"/>
    <w:rsid w:val="008F76E5"/>
    <w:rsid w:val="0090074A"/>
    <w:rsid w:val="00901138"/>
    <w:rsid w:val="00901593"/>
    <w:rsid w:val="00901EA2"/>
    <w:rsid w:val="00902447"/>
    <w:rsid w:val="00902C78"/>
    <w:rsid w:val="00902CD5"/>
    <w:rsid w:val="009031F1"/>
    <w:rsid w:val="00904C44"/>
    <w:rsid w:val="009061E2"/>
    <w:rsid w:val="00906293"/>
    <w:rsid w:val="00906D34"/>
    <w:rsid w:val="009103C3"/>
    <w:rsid w:val="009110A1"/>
    <w:rsid w:val="00911EE5"/>
    <w:rsid w:val="0091281C"/>
    <w:rsid w:val="00913249"/>
    <w:rsid w:val="009138E3"/>
    <w:rsid w:val="00913A29"/>
    <w:rsid w:val="00913EBD"/>
    <w:rsid w:val="0091466E"/>
    <w:rsid w:val="00914CDF"/>
    <w:rsid w:val="00914F14"/>
    <w:rsid w:val="00915027"/>
    <w:rsid w:val="00916120"/>
    <w:rsid w:val="009161C6"/>
    <w:rsid w:val="00916F75"/>
    <w:rsid w:val="00917497"/>
    <w:rsid w:val="00920664"/>
    <w:rsid w:val="00920C34"/>
    <w:rsid w:val="00921A28"/>
    <w:rsid w:val="00922428"/>
    <w:rsid w:val="0092284E"/>
    <w:rsid w:val="00922D8E"/>
    <w:rsid w:val="00924A5C"/>
    <w:rsid w:val="00924C1F"/>
    <w:rsid w:val="009256FB"/>
    <w:rsid w:val="0092636F"/>
    <w:rsid w:val="0092670E"/>
    <w:rsid w:val="00926FBD"/>
    <w:rsid w:val="00927E96"/>
    <w:rsid w:val="0093006C"/>
    <w:rsid w:val="009307C0"/>
    <w:rsid w:val="00930884"/>
    <w:rsid w:val="00930B70"/>
    <w:rsid w:val="00931036"/>
    <w:rsid w:val="0093106E"/>
    <w:rsid w:val="0093150C"/>
    <w:rsid w:val="00931E41"/>
    <w:rsid w:val="00932347"/>
    <w:rsid w:val="00932629"/>
    <w:rsid w:val="0093360D"/>
    <w:rsid w:val="009341AD"/>
    <w:rsid w:val="009356E3"/>
    <w:rsid w:val="0093595C"/>
    <w:rsid w:val="00935B41"/>
    <w:rsid w:val="00936BE9"/>
    <w:rsid w:val="00937A45"/>
    <w:rsid w:val="00937D5E"/>
    <w:rsid w:val="009406DF"/>
    <w:rsid w:val="00940AB8"/>
    <w:rsid w:val="00942F7A"/>
    <w:rsid w:val="0094331B"/>
    <w:rsid w:val="0094376A"/>
    <w:rsid w:val="0094487D"/>
    <w:rsid w:val="009453F1"/>
    <w:rsid w:val="009466CA"/>
    <w:rsid w:val="0094671B"/>
    <w:rsid w:val="0094690E"/>
    <w:rsid w:val="00950694"/>
    <w:rsid w:val="009516F1"/>
    <w:rsid w:val="00951FD9"/>
    <w:rsid w:val="00952902"/>
    <w:rsid w:val="009529F4"/>
    <w:rsid w:val="00954691"/>
    <w:rsid w:val="00954D19"/>
    <w:rsid w:val="00954DC6"/>
    <w:rsid w:val="0095671A"/>
    <w:rsid w:val="00957130"/>
    <w:rsid w:val="00957BA3"/>
    <w:rsid w:val="00957D75"/>
    <w:rsid w:val="009607B9"/>
    <w:rsid w:val="00960992"/>
    <w:rsid w:val="00960EDD"/>
    <w:rsid w:val="009614F8"/>
    <w:rsid w:val="009615AC"/>
    <w:rsid w:val="0096262B"/>
    <w:rsid w:val="009626C5"/>
    <w:rsid w:val="009638DE"/>
    <w:rsid w:val="00963998"/>
    <w:rsid w:val="00963D20"/>
    <w:rsid w:val="009653D3"/>
    <w:rsid w:val="0096563E"/>
    <w:rsid w:val="00965A70"/>
    <w:rsid w:val="00965C04"/>
    <w:rsid w:val="00965DA2"/>
    <w:rsid w:val="00966A08"/>
    <w:rsid w:val="00966B15"/>
    <w:rsid w:val="00967391"/>
    <w:rsid w:val="0096750C"/>
    <w:rsid w:val="00970AA9"/>
    <w:rsid w:val="00971C9B"/>
    <w:rsid w:val="00972244"/>
    <w:rsid w:val="00972694"/>
    <w:rsid w:val="00972D2B"/>
    <w:rsid w:val="0097331E"/>
    <w:rsid w:val="00973321"/>
    <w:rsid w:val="00974EC7"/>
    <w:rsid w:val="00976066"/>
    <w:rsid w:val="009765D5"/>
    <w:rsid w:val="009766AB"/>
    <w:rsid w:val="00976BB5"/>
    <w:rsid w:val="00976D9B"/>
    <w:rsid w:val="00976E95"/>
    <w:rsid w:val="009771C0"/>
    <w:rsid w:val="0097773E"/>
    <w:rsid w:val="0098000E"/>
    <w:rsid w:val="00980257"/>
    <w:rsid w:val="00982F22"/>
    <w:rsid w:val="009841A0"/>
    <w:rsid w:val="009853D8"/>
    <w:rsid w:val="00985657"/>
    <w:rsid w:val="00985726"/>
    <w:rsid w:val="009860A4"/>
    <w:rsid w:val="009872F0"/>
    <w:rsid w:val="00990D12"/>
    <w:rsid w:val="0099135D"/>
    <w:rsid w:val="00991452"/>
    <w:rsid w:val="009914D0"/>
    <w:rsid w:val="00991BD7"/>
    <w:rsid w:val="00992C53"/>
    <w:rsid w:val="00992D98"/>
    <w:rsid w:val="009937DF"/>
    <w:rsid w:val="00993DB7"/>
    <w:rsid w:val="00994F14"/>
    <w:rsid w:val="009950CD"/>
    <w:rsid w:val="009956EA"/>
    <w:rsid w:val="009A0219"/>
    <w:rsid w:val="009A0571"/>
    <w:rsid w:val="009A0B1C"/>
    <w:rsid w:val="009A1CB2"/>
    <w:rsid w:val="009A1DEA"/>
    <w:rsid w:val="009A2E35"/>
    <w:rsid w:val="009A5883"/>
    <w:rsid w:val="009A64D2"/>
    <w:rsid w:val="009A7D0E"/>
    <w:rsid w:val="009B2127"/>
    <w:rsid w:val="009B21B0"/>
    <w:rsid w:val="009B25BB"/>
    <w:rsid w:val="009B28FF"/>
    <w:rsid w:val="009B4654"/>
    <w:rsid w:val="009B47C5"/>
    <w:rsid w:val="009B4D8D"/>
    <w:rsid w:val="009B4F35"/>
    <w:rsid w:val="009B703F"/>
    <w:rsid w:val="009B7247"/>
    <w:rsid w:val="009B7791"/>
    <w:rsid w:val="009B7DC4"/>
    <w:rsid w:val="009C115F"/>
    <w:rsid w:val="009C25D0"/>
    <w:rsid w:val="009C2A93"/>
    <w:rsid w:val="009C2E83"/>
    <w:rsid w:val="009C32DC"/>
    <w:rsid w:val="009C3729"/>
    <w:rsid w:val="009C4441"/>
    <w:rsid w:val="009C47CF"/>
    <w:rsid w:val="009C4A81"/>
    <w:rsid w:val="009C51BE"/>
    <w:rsid w:val="009C68F7"/>
    <w:rsid w:val="009C6D02"/>
    <w:rsid w:val="009C6F95"/>
    <w:rsid w:val="009C71A7"/>
    <w:rsid w:val="009C75E4"/>
    <w:rsid w:val="009C7984"/>
    <w:rsid w:val="009D0582"/>
    <w:rsid w:val="009D0720"/>
    <w:rsid w:val="009D07BA"/>
    <w:rsid w:val="009D0F73"/>
    <w:rsid w:val="009D10C6"/>
    <w:rsid w:val="009D1861"/>
    <w:rsid w:val="009D20BC"/>
    <w:rsid w:val="009D3F02"/>
    <w:rsid w:val="009D4115"/>
    <w:rsid w:val="009D4B09"/>
    <w:rsid w:val="009D4E1B"/>
    <w:rsid w:val="009D541A"/>
    <w:rsid w:val="009D55B4"/>
    <w:rsid w:val="009D68CE"/>
    <w:rsid w:val="009D75E3"/>
    <w:rsid w:val="009D7879"/>
    <w:rsid w:val="009D7AB1"/>
    <w:rsid w:val="009E0672"/>
    <w:rsid w:val="009E0A90"/>
    <w:rsid w:val="009E1BCE"/>
    <w:rsid w:val="009E2946"/>
    <w:rsid w:val="009E43EE"/>
    <w:rsid w:val="009E5618"/>
    <w:rsid w:val="009E5A9B"/>
    <w:rsid w:val="009E5E75"/>
    <w:rsid w:val="009E6286"/>
    <w:rsid w:val="009E6369"/>
    <w:rsid w:val="009E679E"/>
    <w:rsid w:val="009E6D99"/>
    <w:rsid w:val="009F022E"/>
    <w:rsid w:val="009F1666"/>
    <w:rsid w:val="009F1EC5"/>
    <w:rsid w:val="009F43BF"/>
    <w:rsid w:val="009F4A35"/>
    <w:rsid w:val="009F4A85"/>
    <w:rsid w:val="009F5565"/>
    <w:rsid w:val="009F6C1A"/>
    <w:rsid w:val="009F7B7E"/>
    <w:rsid w:val="00A0022A"/>
    <w:rsid w:val="00A00427"/>
    <w:rsid w:val="00A0057B"/>
    <w:rsid w:val="00A00890"/>
    <w:rsid w:val="00A010BA"/>
    <w:rsid w:val="00A02727"/>
    <w:rsid w:val="00A0395D"/>
    <w:rsid w:val="00A041AC"/>
    <w:rsid w:val="00A0469D"/>
    <w:rsid w:val="00A05829"/>
    <w:rsid w:val="00A05EB2"/>
    <w:rsid w:val="00A06615"/>
    <w:rsid w:val="00A071A4"/>
    <w:rsid w:val="00A072BB"/>
    <w:rsid w:val="00A074F5"/>
    <w:rsid w:val="00A07576"/>
    <w:rsid w:val="00A07D59"/>
    <w:rsid w:val="00A109E7"/>
    <w:rsid w:val="00A10B12"/>
    <w:rsid w:val="00A1226D"/>
    <w:rsid w:val="00A124D8"/>
    <w:rsid w:val="00A12C9D"/>
    <w:rsid w:val="00A13DE7"/>
    <w:rsid w:val="00A1405F"/>
    <w:rsid w:val="00A1469D"/>
    <w:rsid w:val="00A149A8"/>
    <w:rsid w:val="00A14C6F"/>
    <w:rsid w:val="00A15241"/>
    <w:rsid w:val="00A208E8"/>
    <w:rsid w:val="00A214FC"/>
    <w:rsid w:val="00A218C2"/>
    <w:rsid w:val="00A21C26"/>
    <w:rsid w:val="00A23B52"/>
    <w:rsid w:val="00A23F71"/>
    <w:rsid w:val="00A23F7B"/>
    <w:rsid w:val="00A2423D"/>
    <w:rsid w:val="00A2452C"/>
    <w:rsid w:val="00A24A71"/>
    <w:rsid w:val="00A260B1"/>
    <w:rsid w:val="00A263DF"/>
    <w:rsid w:val="00A27BCD"/>
    <w:rsid w:val="00A30B1F"/>
    <w:rsid w:val="00A31D74"/>
    <w:rsid w:val="00A321DE"/>
    <w:rsid w:val="00A34441"/>
    <w:rsid w:val="00A348A0"/>
    <w:rsid w:val="00A3512E"/>
    <w:rsid w:val="00A35601"/>
    <w:rsid w:val="00A35A16"/>
    <w:rsid w:val="00A37D5C"/>
    <w:rsid w:val="00A4142F"/>
    <w:rsid w:val="00A4268E"/>
    <w:rsid w:val="00A43063"/>
    <w:rsid w:val="00A43243"/>
    <w:rsid w:val="00A43388"/>
    <w:rsid w:val="00A43545"/>
    <w:rsid w:val="00A437E0"/>
    <w:rsid w:val="00A43D04"/>
    <w:rsid w:val="00A43F14"/>
    <w:rsid w:val="00A442D7"/>
    <w:rsid w:val="00A444BD"/>
    <w:rsid w:val="00A44953"/>
    <w:rsid w:val="00A44AE3"/>
    <w:rsid w:val="00A45B38"/>
    <w:rsid w:val="00A45D27"/>
    <w:rsid w:val="00A476E7"/>
    <w:rsid w:val="00A47D99"/>
    <w:rsid w:val="00A5087C"/>
    <w:rsid w:val="00A5112A"/>
    <w:rsid w:val="00A5165E"/>
    <w:rsid w:val="00A51C88"/>
    <w:rsid w:val="00A52315"/>
    <w:rsid w:val="00A5257E"/>
    <w:rsid w:val="00A541BC"/>
    <w:rsid w:val="00A5486B"/>
    <w:rsid w:val="00A54929"/>
    <w:rsid w:val="00A55270"/>
    <w:rsid w:val="00A56392"/>
    <w:rsid w:val="00A56538"/>
    <w:rsid w:val="00A60FDE"/>
    <w:rsid w:val="00A611AC"/>
    <w:rsid w:val="00A621CF"/>
    <w:rsid w:val="00A63626"/>
    <w:rsid w:val="00A63988"/>
    <w:rsid w:val="00A65778"/>
    <w:rsid w:val="00A65E09"/>
    <w:rsid w:val="00A66874"/>
    <w:rsid w:val="00A66FA1"/>
    <w:rsid w:val="00A67197"/>
    <w:rsid w:val="00A67278"/>
    <w:rsid w:val="00A67488"/>
    <w:rsid w:val="00A67668"/>
    <w:rsid w:val="00A70CEF"/>
    <w:rsid w:val="00A70F37"/>
    <w:rsid w:val="00A71DB3"/>
    <w:rsid w:val="00A73D51"/>
    <w:rsid w:val="00A74928"/>
    <w:rsid w:val="00A7596A"/>
    <w:rsid w:val="00A76232"/>
    <w:rsid w:val="00A76768"/>
    <w:rsid w:val="00A7688C"/>
    <w:rsid w:val="00A76909"/>
    <w:rsid w:val="00A76E9A"/>
    <w:rsid w:val="00A76F98"/>
    <w:rsid w:val="00A77D70"/>
    <w:rsid w:val="00A80777"/>
    <w:rsid w:val="00A83D9B"/>
    <w:rsid w:val="00A86664"/>
    <w:rsid w:val="00A86778"/>
    <w:rsid w:val="00A867C1"/>
    <w:rsid w:val="00A87F48"/>
    <w:rsid w:val="00A90487"/>
    <w:rsid w:val="00A90607"/>
    <w:rsid w:val="00A9390B"/>
    <w:rsid w:val="00A93E08"/>
    <w:rsid w:val="00A942B9"/>
    <w:rsid w:val="00A9439C"/>
    <w:rsid w:val="00A94903"/>
    <w:rsid w:val="00A95335"/>
    <w:rsid w:val="00A95C5B"/>
    <w:rsid w:val="00A95EBD"/>
    <w:rsid w:val="00A962AC"/>
    <w:rsid w:val="00AA2102"/>
    <w:rsid w:val="00AA2434"/>
    <w:rsid w:val="00AA2532"/>
    <w:rsid w:val="00AA2DA0"/>
    <w:rsid w:val="00AA2FBE"/>
    <w:rsid w:val="00AA4A80"/>
    <w:rsid w:val="00AA4B0F"/>
    <w:rsid w:val="00AA5B89"/>
    <w:rsid w:val="00AA6370"/>
    <w:rsid w:val="00AA6A17"/>
    <w:rsid w:val="00AA7316"/>
    <w:rsid w:val="00AA78E0"/>
    <w:rsid w:val="00AB09FC"/>
    <w:rsid w:val="00AB0FCC"/>
    <w:rsid w:val="00AB1381"/>
    <w:rsid w:val="00AB1AAA"/>
    <w:rsid w:val="00AB26BD"/>
    <w:rsid w:val="00AB273C"/>
    <w:rsid w:val="00AB2B27"/>
    <w:rsid w:val="00AB2DB2"/>
    <w:rsid w:val="00AB37C5"/>
    <w:rsid w:val="00AB3DED"/>
    <w:rsid w:val="00AB641D"/>
    <w:rsid w:val="00AB65F9"/>
    <w:rsid w:val="00AB7242"/>
    <w:rsid w:val="00AB76D8"/>
    <w:rsid w:val="00AC0416"/>
    <w:rsid w:val="00AC09D7"/>
    <w:rsid w:val="00AC1226"/>
    <w:rsid w:val="00AC40CF"/>
    <w:rsid w:val="00AC45B7"/>
    <w:rsid w:val="00AC5145"/>
    <w:rsid w:val="00AC6002"/>
    <w:rsid w:val="00AC6021"/>
    <w:rsid w:val="00AC69BA"/>
    <w:rsid w:val="00AC7310"/>
    <w:rsid w:val="00AC7550"/>
    <w:rsid w:val="00AC7944"/>
    <w:rsid w:val="00AD0032"/>
    <w:rsid w:val="00AD00F2"/>
    <w:rsid w:val="00AD02DC"/>
    <w:rsid w:val="00AD08BD"/>
    <w:rsid w:val="00AD0D7A"/>
    <w:rsid w:val="00AD150D"/>
    <w:rsid w:val="00AD1CD9"/>
    <w:rsid w:val="00AD31A5"/>
    <w:rsid w:val="00AD3271"/>
    <w:rsid w:val="00AD35AC"/>
    <w:rsid w:val="00AD3B14"/>
    <w:rsid w:val="00AD3D3F"/>
    <w:rsid w:val="00AD3E22"/>
    <w:rsid w:val="00AD48D5"/>
    <w:rsid w:val="00AD497B"/>
    <w:rsid w:val="00AD505A"/>
    <w:rsid w:val="00AE00FA"/>
    <w:rsid w:val="00AE0373"/>
    <w:rsid w:val="00AE0D95"/>
    <w:rsid w:val="00AE156B"/>
    <w:rsid w:val="00AE237C"/>
    <w:rsid w:val="00AE2404"/>
    <w:rsid w:val="00AE314E"/>
    <w:rsid w:val="00AE3E4C"/>
    <w:rsid w:val="00AE50B4"/>
    <w:rsid w:val="00AE538C"/>
    <w:rsid w:val="00AE5640"/>
    <w:rsid w:val="00AE73C3"/>
    <w:rsid w:val="00AF06EC"/>
    <w:rsid w:val="00AF0D04"/>
    <w:rsid w:val="00AF10E3"/>
    <w:rsid w:val="00AF1633"/>
    <w:rsid w:val="00AF1F42"/>
    <w:rsid w:val="00AF2EA4"/>
    <w:rsid w:val="00AF3ED0"/>
    <w:rsid w:val="00AF4142"/>
    <w:rsid w:val="00AF43F8"/>
    <w:rsid w:val="00AF5E26"/>
    <w:rsid w:val="00AF5E99"/>
    <w:rsid w:val="00AF64FA"/>
    <w:rsid w:val="00B01306"/>
    <w:rsid w:val="00B01E49"/>
    <w:rsid w:val="00B021CD"/>
    <w:rsid w:val="00B0252B"/>
    <w:rsid w:val="00B0295B"/>
    <w:rsid w:val="00B02BDD"/>
    <w:rsid w:val="00B03992"/>
    <w:rsid w:val="00B04145"/>
    <w:rsid w:val="00B056B6"/>
    <w:rsid w:val="00B05961"/>
    <w:rsid w:val="00B05B0D"/>
    <w:rsid w:val="00B05C40"/>
    <w:rsid w:val="00B05ED7"/>
    <w:rsid w:val="00B06A18"/>
    <w:rsid w:val="00B074D3"/>
    <w:rsid w:val="00B07ED2"/>
    <w:rsid w:val="00B10D5B"/>
    <w:rsid w:val="00B11C71"/>
    <w:rsid w:val="00B12910"/>
    <w:rsid w:val="00B12B21"/>
    <w:rsid w:val="00B13A20"/>
    <w:rsid w:val="00B14A52"/>
    <w:rsid w:val="00B1550A"/>
    <w:rsid w:val="00B157B7"/>
    <w:rsid w:val="00B15D8E"/>
    <w:rsid w:val="00B1693C"/>
    <w:rsid w:val="00B172FF"/>
    <w:rsid w:val="00B17341"/>
    <w:rsid w:val="00B17CF6"/>
    <w:rsid w:val="00B17E8A"/>
    <w:rsid w:val="00B20D43"/>
    <w:rsid w:val="00B22181"/>
    <w:rsid w:val="00B221E4"/>
    <w:rsid w:val="00B22F9D"/>
    <w:rsid w:val="00B23C09"/>
    <w:rsid w:val="00B24039"/>
    <w:rsid w:val="00B24815"/>
    <w:rsid w:val="00B26AA6"/>
    <w:rsid w:val="00B26F08"/>
    <w:rsid w:val="00B27B86"/>
    <w:rsid w:val="00B30126"/>
    <w:rsid w:val="00B33094"/>
    <w:rsid w:val="00B33493"/>
    <w:rsid w:val="00B33F02"/>
    <w:rsid w:val="00B35253"/>
    <w:rsid w:val="00B3542F"/>
    <w:rsid w:val="00B36906"/>
    <w:rsid w:val="00B4021E"/>
    <w:rsid w:val="00B410D4"/>
    <w:rsid w:val="00B4129A"/>
    <w:rsid w:val="00B4156C"/>
    <w:rsid w:val="00B41697"/>
    <w:rsid w:val="00B41786"/>
    <w:rsid w:val="00B42904"/>
    <w:rsid w:val="00B42CE4"/>
    <w:rsid w:val="00B4361C"/>
    <w:rsid w:val="00B43ACD"/>
    <w:rsid w:val="00B4633F"/>
    <w:rsid w:val="00B47483"/>
    <w:rsid w:val="00B477A7"/>
    <w:rsid w:val="00B47BA1"/>
    <w:rsid w:val="00B47D92"/>
    <w:rsid w:val="00B47DF8"/>
    <w:rsid w:val="00B50003"/>
    <w:rsid w:val="00B50B3A"/>
    <w:rsid w:val="00B50CE4"/>
    <w:rsid w:val="00B50CF1"/>
    <w:rsid w:val="00B51988"/>
    <w:rsid w:val="00B53679"/>
    <w:rsid w:val="00B536CC"/>
    <w:rsid w:val="00B54BC5"/>
    <w:rsid w:val="00B54F9B"/>
    <w:rsid w:val="00B55D5F"/>
    <w:rsid w:val="00B55DDE"/>
    <w:rsid w:val="00B5672D"/>
    <w:rsid w:val="00B5692E"/>
    <w:rsid w:val="00B56D82"/>
    <w:rsid w:val="00B5724A"/>
    <w:rsid w:val="00B60858"/>
    <w:rsid w:val="00B60894"/>
    <w:rsid w:val="00B60F22"/>
    <w:rsid w:val="00B61942"/>
    <w:rsid w:val="00B61EE6"/>
    <w:rsid w:val="00B624CF"/>
    <w:rsid w:val="00B64EB1"/>
    <w:rsid w:val="00B6503C"/>
    <w:rsid w:val="00B66503"/>
    <w:rsid w:val="00B66524"/>
    <w:rsid w:val="00B66603"/>
    <w:rsid w:val="00B66E5D"/>
    <w:rsid w:val="00B677CD"/>
    <w:rsid w:val="00B72686"/>
    <w:rsid w:val="00B72CAA"/>
    <w:rsid w:val="00B72FD8"/>
    <w:rsid w:val="00B73348"/>
    <w:rsid w:val="00B74233"/>
    <w:rsid w:val="00B74350"/>
    <w:rsid w:val="00B7438B"/>
    <w:rsid w:val="00B75C2E"/>
    <w:rsid w:val="00B7673A"/>
    <w:rsid w:val="00B773EF"/>
    <w:rsid w:val="00B814A9"/>
    <w:rsid w:val="00B81E3E"/>
    <w:rsid w:val="00B821DE"/>
    <w:rsid w:val="00B83A99"/>
    <w:rsid w:val="00B843B2"/>
    <w:rsid w:val="00B84EDD"/>
    <w:rsid w:val="00B85F9E"/>
    <w:rsid w:val="00B86215"/>
    <w:rsid w:val="00B866F4"/>
    <w:rsid w:val="00B8681B"/>
    <w:rsid w:val="00B86EEE"/>
    <w:rsid w:val="00B87BDB"/>
    <w:rsid w:val="00B90238"/>
    <w:rsid w:val="00B906CB"/>
    <w:rsid w:val="00B90EDC"/>
    <w:rsid w:val="00B91961"/>
    <w:rsid w:val="00B91A9C"/>
    <w:rsid w:val="00B92105"/>
    <w:rsid w:val="00B924E6"/>
    <w:rsid w:val="00B92665"/>
    <w:rsid w:val="00B949FD"/>
    <w:rsid w:val="00B96F82"/>
    <w:rsid w:val="00B973EB"/>
    <w:rsid w:val="00B97C2D"/>
    <w:rsid w:val="00BA039C"/>
    <w:rsid w:val="00BA2860"/>
    <w:rsid w:val="00BA2AC3"/>
    <w:rsid w:val="00BA338F"/>
    <w:rsid w:val="00BA40A9"/>
    <w:rsid w:val="00BA487B"/>
    <w:rsid w:val="00BA673F"/>
    <w:rsid w:val="00BA7792"/>
    <w:rsid w:val="00BA7840"/>
    <w:rsid w:val="00BA7A5A"/>
    <w:rsid w:val="00BB0239"/>
    <w:rsid w:val="00BB0BAE"/>
    <w:rsid w:val="00BB1428"/>
    <w:rsid w:val="00BB153F"/>
    <w:rsid w:val="00BB1A19"/>
    <w:rsid w:val="00BB2C15"/>
    <w:rsid w:val="00BB2C1F"/>
    <w:rsid w:val="00BB38A3"/>
    <w:rsid w:val="00BB3D2A"/>
    <w:rsid w:val="00BB50AB"/>
    <w:rsid w:val="00BB5E3B"/>
    <w:rsid w:val="00BC0E15"/>
    <w:rsid w:val="00BC0FE3"/>
    <w:rsid w:val="00BC1505"/>
    <w:rsid w:val="00BC1B98"/>
    <w:rsid w:val="00BC1BA4"/>
    <w:rsid w:val="00BC345E"/>
    <w:rsid w:val="00BC4DEE"/>
    <w:rsid w:val="00BC4EF5"/>
    <w:rsid w:val="00BC50A4"/>
    <w:rsid w:val="00BC528B"/>
    <w:rsid w:val="00BC5D33"/>
    <w:rsid w:val="00BC6822"/>
    <w:rsid w:val="00BC760E"/>
    <w:rsid w:val="00BC7F1E"/>
    <w:rsid w:val="00BD0080"/>
    <w:rsid w:val="00BD05AF"/>
    <w:rsid w:val="00BD0E6D"/>
    <w:rsid w:val="00BD1E7A"/>
    <w:rsid w:val="00BD34D6"/>
    <w:rsid w:val="00BD399D"/>
    <w:rsid w:val="00BD3AC6"/>
    <w:rsid w:val="00BD44F0"/>
    <w:rsid w:val="00BD4729"/>
    <w:rsid w:val="00BD4DCD"/>
    <w:rsid w:val="00BD5543"/>
    <w:rsid w:val="00BD574F"/>
    <w:rsid w:val="00BD6826"/>
    <w:rsid w:val="00BD764D"/>
    <w:rsid w:val="00BE0A37"/>
    <w:rsid w:val="00BE0F6D"/>
    <w:rsid w:val="00BE1257"/>
    <w:rsid w:val="00BE1E40"/>
    <w:rsid w:val="00BE37F4"/>
    <w:rsid w:val="00BE3ECC"/>
    <w:rsid w:val="00BE4D42"/>
    <w:rsid w:val="00BE5406"/>
    <w:rsid w:val="00BE5E7D"/>
    <w:rsid w:val="00BF063E"/>
    <w:rsid w:val="00BF0F84"/>
    <w:rsid w:val="00BF16A7"/>
    <w:rsid w:val="00BF214F"/>
    <w:rsid w:val="00BF3226"/>
    <w:rsid w:val="00BF3540"/>
    <w:rsid w:val="00BF425F"/>
    <w:rsid w:val="00BF55C2"/>
    <w:rsid w:val="00BF5EF9"/>
    <w:rsid w:val="00BF5F50"/>
    <w:rsid w:val="00BF6FFA"/>
    <w:rsid w:val="00C003AE"/>
    <w:rsid w:val="00C003F7"/>
    <w:rsid w:val="00C00539"/>
    <w:rsid w:val="00C00F94"/>
    <w:rsid w:val="00C02671"/>
    <w:rsid w:val="00C0321E"/>
    <w:rsid w:val="00C03B73"/>
    <w:rsid w:val="00C03C9A"/>
    <w:rsid w:val="00C04B86"/>
    <w:rsid w:val="00C0581F"/>
    <w:rsid w:val="00C06292"/>
    <w:rsid w:val="00C065CC"/>
    <w:rsid w:val="00C068DB"/>
    <w:rsid w:val="00C0728E"/>
    <w:rsid w:val="00C07D50"/>
    <w:rsid w:val="00C103B1"/>
    <w:rsid w:val="00C10616"/>
    <w:rsid w:val="00C10947"/>
    <w:rsid w:val="00C10E9C"/>
    <w:rsid w:val="00C12568"/>
    <w:rsid w:val="00C139F5"/>
    <w:rsid w:val="00C13D09"/>
    <w:rsid w:val="00C13FF0"/>
    <w:rsid w:val="00C14606"/>
    <w:rsid w:val="00C14E17"/>
    <w:rsid w:val="00C158F5"/>
    <w:rsid w:val="00C159D8"/>
    <w:rsid w:val="00C15CFA"/>
    <w:rsid w:val="00C16723"/>
    <w:rsid w:val="00C16A66"/>
    <w:rsid w:val="00C16DCD"/>
    <w:rsid w:val="00C204F3"/>
    <w:rsid w:val="00C20FBB"/>
    <w:rsid w:val="00C2240B"/>
    <w:rsid w:val="00C22753"/>
    <w:rsid w:val="00C22773"/>
    <w:rsid w:val="00C2413D"/>
    <w:rsid w:val="00C24FA0"/>
    <w:rsid w:val="00C25AC1"/>
    <w:rsid w:val="00C25B03"/>
    <w:rsid w:val="00C25BF9"/>
    <w:rsid w:val="00C30558"/>
    <w:rsid w:val="00C30950"/>
    <w:rsid w:val="00C3117A"/>
    <w:rsid w:val="00C31ADE"/>
    <w:rsid w:val="00C31F98"/>
    <w:rsid w:val="00C33EEC"/>
    <w:rsid w:val="00C341A6"/>
    <w:rsid w:val="00C34D59"/>
    <w:rsid w:val="00C36674"/>
    <w:rsid w:val="00C36E75"/>
    <w:rsid w:val="00C37C31"/>
    <w:rsid w:val="00C37CEA"/>
    <w:rsid w:val="00C4038A"/>
    <w:rsid w:val="00C4059E"/>
    <w:rsid w:val="00C41134"/>
    <w:rsid w:val="00C414FC"/>
    <w:rsid w:val="00C4248C"/>
    <w:rsid w:val="00C4333B"/>
    <w:rsid w:val="00C43E0B"/>
    <w:rsid w:val="00C43F7D"/>
    <w:rsid w:val="00C4425E"/>
    <w:rsid w:val="00C45635"/>
    <w:rsid w:val="00C45A9D"/>
    <w:rsid w:val="00C45CCD"/>
    <w:rsid w:val="00C4684D"/>
    <w:rsid w:val="00C5021B"/>
    <w:rsid w:val="00C503B8"/>
    <w:rsid w:val="00C505AE"/>
    <w:rsid w:val="00C517B2"/>
    <w:rsid w:val="00C5240F"/>
    <w:rsid w:val="00C53406"/>
    <w:rsid w:val="00C542CE"/>
    <w:rsid w:val="00C54CA0"/>
    <w:rsid w:val="00C54FB1"/>
    <w:rsid w:val="00C558D3"/>
    <w:rsid w:val="00C56454"/>
    <w:rsid w:val="00C60370"/>
    <w:rsid w:val="00C61AD9"/>
    <w:rsid w:val="00C62500"/>
    <w:rsid w:val="00C62DB8"/>
    <w:rsid w:val="00C63439"/>
    <w:rsid w:val="00C646B5"/>
    <w:rsid w:val="00C64765"/>
    <w:rsid w:val="00C64BED"/>
    <w:rsid w:val="00C64E9D"/>
    <w:rsid w:val="00C65020"/>
    <w:rsid w:val="00C66F42"/>
    <w:rsid w:val="00C6761A"/>
    <w:rsid w:val="00C7017B"/>
    <w:rsid w:val="00C70806"/>
    <w:rsid w:val="00C70BC3"/>
    <w:rsid w:val="00C70BD5"/>
    <w:rsid w:val="00C719B8"/>
    <w:rsid w:val="00C72617"/>
    <w:rsid w:val="00C738E0"/>
    <w:rsid w:val="00C746D7"/>
    <w:rsid w:val="00C768EF"/>
    <w:rsid w:val="00C76C3D"/>
    <w:rsid w:val="00C77331"/>
    <w:rsid w:val="00C77DDB"/>
    <w:rsid w:val="00C800F0"/>
    <w:rsid w:val="00C80471"/>
    <w:rsid w:val="00C81C22"/>
    <w:rsid w:val="00C81F26"/>
    <w:rsid w:val="00C82247"/>
    <w:rsid w:val="00C8281E"/>
    <w:rsid w:val="00C829A1"/>
    <w:rsid w:val="00C84C8F"/>
    <w:rsid w:val="00C84D31"/>
    <w:rsid w:val="00C86938"/>
    <w:rsid w:val="00C877BD"/>
    <w:rsid w:val="00C87A7D"/>
    <w:rsid w:val="00C87BD0"/>
    <w:rsid w:val="00C87C01"/>
    <w:rsid w:val="00C91B14"/>
    <w:rsid w:val="00C91D94"/>
    <w:rsid w:val="00C91F6C"/>
    <w:rsid w:val="00C924D0"/>
    <w:rsid w:val="00C930AA"/>
    <w:rsid w:val="00C93100"/>
    <w:rsid w:val="00C9356E"/>
    <w:rsid w:val="00C936EE"/>
    <w:rsid w:val="00C940B2"/>
    <w:rsid w:val="00C9447C"/>
    <w:rsid w:val="00C945D3"/>
    <w:rsid w:val="00C950F9"/>
    <w:rsid w:val="00CA08BE"/>
    <w:rsid w:val="00CA18F1"/>
    <w:rsid w:val="00CA20D8"/>
    <w:rsid w:val="00CA23B2"/>
    <w:rsid w:val="00CA2BD3"/>
    <w:rsid w:val="00CA2D81"/>
    <w:rsid w:val="00CA3412"/>
    <w:rsid w:val="00CA4220"/>
    <w:rsid w:val="00CA448F"/>
    <w:rsid w:val="00CA4B1C"/>
    <w:rsid w:val="00CA5622"/>
    <w:rsid w:val="00CA5A96"/>
    <w:rsid w:val="00CA5FC7"/>
    <w:rsid w:val="00CA60FF"/>
    <w:rsid w:val="00CB0504"/>
    <w:rsid w:val="00CB0B2F"/>
    <w:rsid w:val="00CB124C"/>
    <w:rsid w:val="00CB15E1"/>
    <w:rsid w:val="00CB1F95"/>
    <w:rsid w:val="00CB2531"/>
    <w:rsid w:val="00CB3246"/>
    <w:rsid w:val="00CB328A"/>
    <w:rsid w:val="00CB348D"/>
    <w:rsid w:val="00CB3801"/>
    <w:rsid w:val="00CB43C6"/>
    <w:rsid w:val="00CB4E70"/>
    <w:rsid w:val="00CB5E23"/>
    <w:rsid w:val="00CB5E2F"/>
    <w:rsid w:val="00CB6867"/>
    <w:rsid w:val="00CB698C"/>
    <w:rsid w:val="00CB6AE3"/>
    <w:rsid w:val="00CB70FD"/>
    <w:rsid w:val="00CB7325"/>
    <w:rsid w:val="00CB7509"/>
    <w:rsid w:val="00CB76D6"/>
    <w:rsid w:val="00CB78D3"/>
    <w:rsid w:val="00CB7E30"/>
    <w:rsid w:val="00CC07F3"/>
    <w:rsid w:val="00CC0803"/>
    <w:rsid w:val="00CC1ED5"/>
    <w:rsid w:val="00CC28E1"/>
    <w:rsid w:val="00CC2C2A"/>
    <w:rsid w:val="00CC4062"/>
    <w:rsid w:val="00CC4712"/>
    <w:rsid w:val="00CC4E96"/>
    <w:rsid w:val="00CC575E"/>
    <w:rsid w:val="00CC5891"/>
    <w:rsid w:val="00CC5C3F"/>
    <w:rsid w:val="00CC7F8D"/>
    <w:rsid w:val="00CD0568"/>
    <w:rsid w:val="00CD0851"/>
    <w:rsid w:val="00CD08B5"/>
    <w:rsid w:val="00CD1952"/>
    <w:rsid w:val="00CD1A4F"/>
    <w:rsid w:val="00CD1C7C"/>
    <w:rsid w:val="00CD1EE5"/>
    <w:rsid w:val="00CD3600"/>
    <w:rsid w:val="00CD59E7"/>
    <w:rsid w:val="00CD735F"/>
    <w:rsid w:val="00CD745D"/>
    <w:rsid w:val="00CD77B5"/>
    <w:rsid w:val="00CD7CDC"/>
    <w:rsid w:val="00CE0496"/>
    <w:rsid w:val="00CE0986"/>
    <w:rsid w:val="00CE09CF"/>
    <w:rsid w:val="00CE0AAA"/>
    <w:rsid w:val="00CE275C"/>
    <w:rsid w:val="00CE2BBD"/>
    <w:rsid w:val="00CE45D6"/>
    <w:rsid w:val="00CE6299"/>
    <w:rsid w:val="00CE6F10"/>
    <w:rsid w:val="00CF0090"/>
    <w:rsid w:val="00CF0318"/>
    <w:rsid w:val="00CF0618"/>
    <w:rsid w:val="00CF0836"/>
    <w:rsid w:val="00CF0D66"/>
    <w:rsid w:val="00CF1166"/>
    <w:rsid w:val="00CF1F30"/>
    <w:rsid w:val="00CF238B"/>
    <w:rsid w:val="00CF263A"/>
    <w:rsid w:val="00CF2F1E"/>
    <w:rsid w:val="00CF3B3D"/>
    <w:rsid w:val="00CF4487"/>
    <w:rsid w:val="00CF4AB7"/>
    <w:rsid w:val="00CF4AF0"/>
    <w:rsid w:val="00CF540E"/>
    <w:rsid w:val="00CF56E2"/>
    <w:rsid w:val="00CF5955"/>
    <w:rsid w:val="00CF5B1E"/>
    <w:rsid w:val="00CF6061"/>
    <w:rsid w:val="00CF620F"/>
    <w:rsid w:val="00CF6B8B"/>
    <w:rsid w:val="00CF747E"/>
    <w:rsid w:val="00CF7936"/>
    <w:rsid w:val="00CF7A2F"/>
    <w:rsid w:val="00CF7CF0"/>
    <w:rsid w:val="00D00273"/>
    <w:rsid w:val="00D008B4"/>
    <w:rsid w:val="00D00A67"/>
    <w:rsid w:val="00D0176E"/>
    <w:rsid w:val="00D01B3C"/>
    <w:rsid w:val="00D01D54"/>
    <w:rsid w:val="00D0341B"/>
    <w:rsid w:val="00D059FB"/>
    <w:rsid w:val="00D061A0"/>
    <w:rsid w:val="00D0635B"/>
    <w:rsid w:val="00D06565"/>
    <w:rsid w:val="00D10204"/>
    <w:rsid w:val="00D10463"/>
    <w:rsid w:val="00D104F5"/>
    <w:rsid w:val="00D10896"/>
    <w:rsid w:val="00D11F3A"/>
    <w:rsid w:val="00D12012"/>
    <w:rsid w:val="00D138CE"/>
    <w:rsid w:val="00D145E4"/>
    <w:rsid w:val="00D147CA"/>
    <w:rsid w:val="00D15D09"/>
    <w:rsid w:val="00D204C2"/>
    <w:rsid w:val="00D207D9"/>
    <w:rsid w:val="00D20DA7"/>
    <w:rsid w:val="00D217DE"/>
    <w:rsid w:val="00D21D8B"/>
    <w:rsid w:val="00D222C2"/>
    <w:rsid w:val="00D2232C"/>
    <w:rsid w:val="00D22DEC"/>
    <w:rsid w:val="00D22DF6"/>
    <w:rsid w:val="00D22E4D"/>
    <w:rsid w:val="00D238FE"/>
    <w:rsid w:val="00D239EB"/>
    <w:rsid w:val="00D2499C"/>
    <w:rsid w:val="00D24BCB"/>
    <w:rsid w:val="00D2515A"/>
    <w:rsid w:val="00D251CA"/>
    <w:rsid w:val="00D25DF1"/>
    <w:rsid w:val="00D25E6F"/>
    <w:rsid w:val="00D26337"/>
    <w:rsid w:val="00D26439"/>
    <w:rsid w:val="00D27906"/>
    <w:rsid w:val="00D279CE"/>
    <w:rsid w:val="00D30087"/>
    <w:rsid w:val="00D30513"/>
    <w:rsid w:val="00D30728"/>
    <w:rsid w:val="00D31B07"/>
    <w:rsid w:val="00D3200D"/>
    <w:rsid w:val="00D322E3"/>
    <w:rsid w:val="00D32F90"/>
    <w:rsid w:val="00D3343B"/>
    <w:rsid w:val="00D338D5"/>
    <w:rsid w:val="00D35119"/>
    <w:rsid w:val="00D352AC"/>
    <w:rsid w:val="00D35FCA"/>
    <w:rsid w:val="00D36219"/>
    <w:rsid w:val="00D378A0"/>
    <w:rsid w:val="00D4104B"/>
    <w:rsid w:val="00D417E1"/>
    <w:rsid w:val="00D41E14"/>
    <w:rsid w:val="00D438AB"/>
    <w:rsid w:val="00D43903"/>
    <w:rsid w:val="00D44EF7"/>
    <w:rsid w:val="00D453B3"/>
    <w:rsid w:val="00D46C15"/>
    <w:rsid w:val="00D478A1"/>
    <w:rsid w:val="00D47E29"/>
    <w:rsid w:val="00D51933"/>
    <w:rsid w:val="00D51EAB"/>
    <w:rsid w:val="00D530D3"/>
    <w:rsid w:val="00D53768"/>
    <w:rsid w:val="00D53938"/>
    <w:rsid w:val="00D53D9E"/>
    <w:rsid w:val="00D5445A"/>
    <w:rsid w:val="00D54D10"/>
    <w:rsid w:val="00D54FE8"/>
    <w:rsid w:val="00D55FB2"/>
    <w:rsid w:val="00D57899"/>
    <w:rsid w:val="00D60DDD"/>
    <w:rsid w:val="00D611D8"/>
    <w:rsid w:val="00D61411"/>
    <w:rsid w:val="00D6285B"/>
    <w:rsid w:val="00D62D3A"/>
    <w:rsid w:val="00D63404"/>
    <w:rsid w:val="00D63438"/>
    <w:rsid w:val="00D63AFC"/>
    <w:rsid w:val="00D63D38"/>
    <w:rsid w:val="00D64258"/>
    <w:rsid w:val="00D64F3A"/>
    <w:rsid w:val="00D6581D"/>
    <w:rsid w:val="00D65CA7"/>
    <w:rsid w:val="00D65D48"/>
    <w:rsid w:val="00D65EF2"/>
    <w:rsid w:val="00D668DF"/>
    <w:rsid w:val="00D702F9"/>
    <w:rsid w:val="00D7074B"/>
    <w:rsid w:val="00D720A8"/>
    <w:rsid w:val="00D726C4"/>
    <w:rsid w:val="00D74120"/>
    <w:rsid w:val="00D7491B"/>
    <w:rsid w:val="00D754FC"/>
    <w:rsid w:val="00D75C5E"/>
    <w:rsid w:val="00D77481"/>
    <w:rsid w:val="00D7799C"/>
    <w:rsid w:val="00D77B81"/>
    <w:rsid w:val="00D80C18"/>
    <w:rsid w:val="00D80D26"/>
    <w:rsid w:val="00D81BC1"/>
    <w:rsid w:val="00D82022"/>
    <w:rsid w:val="00D8310A"/>
    <w:rsid w:val="00D833C6"/>
    <w:rsid w:val="00D84218"/>
    <w:rsid w:val="00D8509C"/>
    <w:rsid w:val="00D858C2"/>
    <w:rsid w:val="00D8598A"/>
    <w:rsid w:val="00D85ABB"/>
    <w:rsid w:val="00D85B0F"/>
    <w:rsid w:val="00D8730A"/>
    <w:rsid w:val="00D87E06"/>
    <w:rsid w:val="00D9045F"/>
    <w:rsid w:val="00D913A3"/>
    <w:rsid w:val="00D91A90"/>
    <w:rsid w:val="00D91E30"/>
    <w:rsid w:val="00D91E5A"/>
    <w:rsid w:val="00D935F4"/>
    <w:rsid w:val="00D94636"/>
    <w:rsid w:val="00D95330"/>
    <w:rsid w:val="00D96757"/>
    <w:rsid w:val="00D97DE6"/>
    <w:rsid w:val="00DA00A1"/>
    <w:rsid w:val="00DA0251"/>
    <w:rsid w:val="00DA0948"/>
    <w:rsid w:val="00DA16F9"/>
    <w:rsid w:val="00DA25D9"/>
    <w:rsid w:val="00DA31F3"/>
    <w:rsid w:val="00DA3595"/>
    <w:rsid w:val="00DA376A"/>
    <w:rsid w:val="00DA38A7"/>
    <w:rsid w:val="00DA4BCD"/>
    <w:rsid w:val="00DA4EA8"/>
    <w:rsid w:val="00DA6586"/>
    <w:rsid w:val="00DA75C5"/>
    <w:rsid w:val="00DA75EE"/>
    <w:rsid w:val="00DA7634"/>
    <w:rsid w:val="00DA7B0D"/>
    <w:rsid w:val="00DB0B05"/>
    <w:rsid w:val="00DB19CB"/>
    <w:rsid w:val="00DB32CF"/>
    <w:rsid w:val="00DB383A"/>
    <w:rsid w:val="00DB4336"/>
    <w:rsid w:val="00DB4AF9"/>
    <w:rsid w:val="00DB5463"/>
    <w:rsid w:val="00DB58FF"/>
    <w:rsid w:val="00DB5E63"/>
    <w:rsid w:val="00DB6F2B"/>
    <w:rsid w:val="00DB751E"/>
    <w:rsid w:val="00DB78B2"/>
    <w:rsid w:val="00DB7BCE"/>
    <w:rsid w:val="00DB7D2F"/>
    <w:rsid w:val="00DB7E4E"/>
    <w:rsid w:val="00DC0B6A"/>
    <w:rsid w:val="00DC0BEA"/>
    <w:rsid w:val="00DC115D"/>
    <w:rsid w:val="00DC30FA"/>
    <w:rsid w:val="00DC3CD4"/>
    <w:rsid w:val="00DC4313"/>
    <w:rsid w:val="00DC5560"/>
    <w:rsid w:val="00DC598F"/>
    <w:rsid w:val="00DC5B2A"/>
    <w:rsid w:val="00DC5E51"/>
    <w:rsid w:val="00DC5EC9"/>
    <w:rsid w:val="00DC5F2C"/>
    <w:rsid w:val="00DC60F6"/>
    <w:rsid w:val="00DC783C"/>
    <w:rsid w:val="00DC7CC4"/>
    <w:rsid w:val="00DD0EE1"/>
    <w:rsid w:val="00DD0F4A"/>
    <w:rsid w:val="00DD1A67"/>
    <w:rsid w:val="00DD2320"/>
    <w:rsid w:val="00DD2F16"/>
    <w:rsid w:val="00DD4EA1"/>
    <w:rsid w:val="00DD53FA"/>
    <w:rsid w:val="00DD6C72"/>
    <w:rsid w:val="00DD71EC"/>
    <w:rsid w:val="00DD7B37"/>
    <w:rsid w:val="00DD7C4C"/>
    <w:rsid w:val="00DE01DD"/>
    <w:rsid w:val="00DE09E3"/>
    <w:rsid w:val="00DE1317"/>
    <w:rsid w:val="00DE1E60"/>
    <w:rsid w:val="00DE349F"/>
    <w:rsid w:val="00DE366F"/>
    <w:rsid w:val="00DE3709"/>
    <w:rsid w:val="00DE41E5"/>
    <w:rsid w:val="00DE4528"/>
    <w:rsid w:val="00DE4DFC"/>
    <w:rsid w:val="00DE5952"/>
    <w:rsid w:val="00DE5B81"/>
    <w:rsid w:val="00DE6C75"/>
    <w:rsid w:val="00DE6EE8"/>
    <w:rsid w:val="00DE7236"/>
    <w:rsid w:val="00DE7C0C"/>
    <w:rsid w:val="00DF02A7"/>
    <w:rsid w:val="00DF05A0"/>
    <w:rsid w:val="00DF0AAB"/>
    <w:rsid w:val="00DF0E0B"/>
    <w:rsid w:val="00DF1B4C"/>
    <w:rsid w:val="00DF1DBC"/>
    <w:rsid w:val="00DF3224"/>
    <w:rsid w:val="00DF32F7"/>
    <w:rsid w:val="00DF4C8F"/>
    <w:rsid w:val="00DF4D9F"/>
    <w:rsid w:val="00DF5BCE"/>
    <w:rsid w:val="00DF5CF6"/>
    <w:rsid w:val="00DF66DF"/>
    <w:rsid w:val="00DF6D52"/>
    <w:rsid w:val="00DF7F7D"/>
    <w:rsid w:val="00E002B8"/>
    <w:rsid w:val="00E0078F"/>
    <w:rsid w:val="00E0275E"/>
    <w:rsid w:val="00E0338A"/>
    <w:rsid w:val="00E0393B"/>
    <w:rsid w:val="00E03EDD"/>
    <w:rsid w:val="00E0427B"/>
    <w:rsid w:val="00E04DB3"/>
    <w:rsid w:val="00E05850"/>
    <w:rsid w:val="00E05C8D"/>
    <w:rsid w:val="00E0708F"/>
    <w:rsid w:val="00E07167"/>
    <w:rsid w:val="00E07BA5"/>
    <w:rsid w:val="00E10129"/>
    <w:rsid w:val="00E107FE"/>
    <w:rsid w:val="00E1098C"/>
    <w:rsid w:val="00E10A63"/>
    <w:rsid w:val="00E10DF2"/>
    <w:rsid w:val="00E117EF"/>
    <w:rsid w:val="00E11DE5"/>
    <w:rsid w:val="00E1231A"/>
    <w:rsid w:val="00E13242"/>
    <w:rsid w:val="00E13327"/>
    <w:rsid w:val="00E13D3C"/>
    <w:rsid w:val="00E14461"/>
    <w:rsid w:val="00E14C25"/>
    <w:rsid w:val="00E14F61"/>
    <w:rsid w:val="00E15315"/>
    <w:rsid w:val="00E153AA"/>
    <w:rsid w:val="00E15E29"/>
    <w:rsid w:val="00E15ECF"/>
    <w:rsid w:val="00E2161C"/>
    <w:rsid w:val="00E21843"/>
    <w:rsid w:val="00E2315A"/>
    <w:rsid w:val="00E23D91"/>
    <w:rsid w:val="00E2478C"/>
    <w:rsid w:val="00E250B4"/>
    <w:rsid w:val="00E2608F"/>
    <w:rsid w:val="00E26BC6"/>
    <w:rsid w:val="00E27839"/>
    <w:rsid w:val="00E278CE"/>
    <w:rsid w:val="00E279F1"/>
    <w:rsid w:val="00E32275"/>
    <w:rsid w:val="00E34277"/>
    <w:rsid w:val="00E34302"/>
    <w:rsid w:val="00E3446F"/>
    <w:rsid w:val="00E3453D"/>
    <w:rsid w:val="00E34AEE"/>
    <w:rsid w:val="00E34CC9"/>
    <w:rsid w:val="00E364A4"/>
    <w:rsid w:val="00E37437"/>
    <w:rsid w:val="00E375DB"/>
    <w:rsid w:val="00E408BE"/>
    <w:rsid w:val="00E40E70"/>
    <w:rsid w:val="00E412AD"/>
    <w:rsid w:val="00E426D9"/>
    <w:rsid w:val="00E4391D"/>
    <w:rsid w:val="00E4391F"/>
    <w:rsid w:val="00E43965"/>
    <w:rsid w:val="00E45397"/>
    <w:rsid w:val="00E46243"/>
    <w:rsid w:val="00E47205"/>
    <w:rsid w:val="00E5067E"/>
    <w:rsid w:val="00E50B2E"/>
    <w:rsid w:val="00E51074"/>
    <w:rsid w:val="00E5186F"/>
    <w:rsid w:val="00E5278C"/>
    <w:rsid w:val="00E544B4"/>
    <w:rsid w:val="00E545EB"/>
    <w:rsid w:val="00E57E7B"/>
    <w:rsid w:val="00E57EBE"/>
    <w:rsid w:val="00E602AA"/>
    <w:rsid w:val="00E61AD9"/>
    <w:rsid w:val="00E625B8"/>
    <w:rsid w:val="00E633F1"/>
    <w:rsid w:val="00E6352D"/>
    <w:rsid w:val="00E636D1"/>
    <w:rsid w:val="00E64466"/>
    <w:rsid w:val="00E64C6C"/>
    <w:rsid w:val="00E65D64"/>
    <w:rsid w:val="00E66EE6"/>
    <w:rsid w:val="00E671A3"/>
    <w:rsid w:val="00E67CA7"/>
    <w:rsid w:val="00E70164"/>
    <w:rsid w:val="00E70796"/>
    <w:rsid w:val="00E71E55"/>
    <w:rsid w:val="00E7216C"/>
    <w:rsid w:val="00E727B3"/>
    <w:rsid w:val="00E72890"/>
    <w:rsid w:val="00E743AC"/>
    <w:rsid w:val="00E7649A"/>
    <w:rsid w:val="00E7744A"/>
    <w:rsid w:val="00E7771B"/>
    <w:rsid w:val="00E7774B"/>
    <w:rsid w:val="00E80459"/>
    <w:rsid w:val="00E8175E"/>
    <w:rsid w:val="00E81E29"/>
    <w:rsid w:val="00E82A06"/>
    <w:rsid w:val="00E8345E"/>
    <w:rsid w:val="00E835D5"/>
    <w:rsid w:val="00E83DA4"/>
    <w:rsid w:val="00E84D5F"/>
    <w:rsid w:val="00E85480"/>
    <w:rsid w:val="00E85EB7"/>
    <w:rsid w:val="00E86B97"/>
    <w:rsid w:val="00E86DA9"/>
    <w:rsid w:val="00E912B0"/>
    <w:rsid w:val="00E91722"/>
    <w:rsid w:val="00E92301"/>
    <w:rsid w:val="00E925CB"/>
    <w:rsid w:val="00E93305"/>
    <w:rsid w:val="00E94FF5"/>
    <w:rsid w:val="00E950EE"/>
    <w:rsid w:val="00E95B61"/>
    <w:rsid w:val="00E974AD"/>
    <w:rsid w:val="00E9759A"/>
    <w:rsid w:val="00E975B2"/>
    <w:rsid w:val="00E97C60"/>
    <w:rsid w:val="00EA05DB"/>
    <w:rsid w:val="00EA08AD"/>
    <w:rsid w:val="00EA280E"/>
    <w:rsid w:val="00EA32C3"/>
    <w:rsid w:val="00EA370F"/>
    <w:rsid w:val="00EA3797"/>
    <w:rsid w:val="00EA41EC"/>
    <w:rsid w:val="00EA5DE3"/>
    <w:rsid w:val="00EA66FA"/>
    <w:rsid w:val="00EA6915"/>
    <w:rsid w:val="00EA6FD4"/>
    <w:rsid w:val="00EB0929"/>
    <w:rsid w:val="00EB278E"/>
    <w:rsid w:val="00EB3BA5"/>
    <w:rsid w:val="00EB49CE"/>
    <w:rsid w:val="00EB4BFC"/>
    <w:rsid w:val="00EB4DB6"/>
    <w:rsid w:val="00EB5913"/>
    <w:rsid w:val="00EB59FB"/>
    <w:rsid w:val="00EB64C8"/>
    <w:rsid w:val="00EB6D42"/>
    <w:rsid w:val="00EB75C0"/>
    <w:rsid w:val="00EB7A96"/>
    <w:rsid w:val="00EC02E6"/>
    <w:rsid w:val="00EC1260"/>
    <w:rsid w:val="00EC1A2E"/>
    <w:rsid w:val="00EC2384"/>
    <w:rsid w:val="00EC3469"/>
    <w:rsid w:val="00EC3780"/>
    <w:rsid w:val="00EC527F"/>
    <w:rsid w:val="00EC53F4"/>
    <w:rsid w:val="00EC6E71"/>
    <w:rsid w:val="00EC77B0"/>
    <w:rsid w:val="00ED0267"/>
    <w:rsid w:val="00ED0711"/>
    <w:rsid w:val="00ED0C0C"/>
    <w:rsid w:val="00ED1D82"/>
    <w:rsid w:val="00ED200C"/>
    <w:rsid w:val="00ED24EC"/>
    <w:rsid w:val="00ED30D4"/>
    <w:rsid w:val="00ED3479"/>
    <w:rsid w:val="00ED5569"/>
    <w:rsid w:val="00ED7223"/>
    <w:rsid w:val="00EE029D"/>
    <w:rsid w:val="00EE033D"/>
    <w:rsid w:val="00EE04C4"/>
    <w:rsid w:val="00EE0564"/>
    <w:rsid w:val="00EE11CF"/>
    <w:rsid w:val="00EE14A8"/>
    <w:rsid w:val="00EE1FC9"/>
    <w:rsid w:val="00EE2CA8"/>
    <w:rsid w:val="00EE323C"/>
    <w:rsid w:val="00EE38DD"/>
    <w:rsid w:val="00EE3BC3"/>
    <w:rsid w:val="00EE5171"/>
    <w:rsid w:val="00EE5656"/>
    <w:rsid w:val="00EE64C8"/>
    <w:rsid w:val="00EE7886"/>
    <w:rsid w:val="00EE7FF9"/>
    <w:rsid w:val="00EF0336"/>
    <w:rsid w:val="00EF1BCB"/>
    <w:rsid w:val="00EF1DF2"/>
    <w:rsid w:val="00EF1EA3"/>
    <w:rsid w:val="00EF3DDA"/>
    <w:rsid w:val="00EF5513"/>
    <w:rsid w:val="00EF6AD1"/>
    <w:rsid w:val="00EF72BA"/>
    <w:rsid w:val="00EF7863"/>
    <w:rsid w:val="00F0040D"/>
    <w:rsid w:val="00F0065F"/>
    <w:rsid w:val="00F022F5"/>
    <w:rsid w:val="00F0448B"/>
    <w:rsid w:val="00F04948"/>
    <w:rsid w:val="00F04E62"/>
    <w:rsid w:val="00F054A3"/>
    <w:rsid w:val="00F0620E"/>
    <w:rsid w:val="00F064DC"/>
    <w:rsid w:val="00F069A2"/>
    <w:rsid w:val="00F071FC"/>
    <w:rsid w:val="00F104F7"/>
    <w:rsid w:val="00F10BF3"/>
    <w:rsid w:val="00F10C48"/>
    <w:rsid w:val="00F10F73"/>
    <w:rsid w:val="00F13703"/>
    <w:rsid w:val="00F13BEA"/>
    <w:rsid w:val="00F13D15"/>
    <w:rsid w:val="00F14898"/>
    <w:rsid w:val="00F1648D"/>
    <w:rsid w:val="00F175B8"/>
    <w:rsid w:val="00F20A0C"/>
    <w:rsid w:val="00F21040"/>
    <w:rsid w:val="00F2130F"/>
    <w:rsid w:val="00F22AB8"/>
    <w:rsid w:val="00F233ED"/>
    <w:rsid w:val="00F23983"/>
    <w:rsid w:val="00F242B6"/>
    <w:rsid w:val="00F25102"/>
    <w:rsid w:val="00F257EA"/>
    <w:rsid w:val="00F26859"/>
    <w:rsid w:val="00F26D2B"/>
    <w:rsid w:val="00F27D25"/>
    <w:rsid w:val="00F31194"/>
    <w:rsid w:val="00F31964"/>
    <w:rsid w:val="00F32F41"/>
    <w:rsid w:val="00F3317F"/>
    <w:rsid w:val="00F33865"/>
    <w:rsid w:val="00F348DB"/>
    <w:rsid w:val="00F34A0D"/>
    <w:rsid w:val="00F34B5A"/>
    <w:rsid w:val="00F3658A"/>
    <w:rsid w:val="00F36655"/>
    <w:rsid w:val="00F36A33"/>
    <w:rsid w:val="00F36F1D"/>
    <w:rsid w:val="00F37908"/>
    <w:rsid w:val="00F37B78"/>
    <w:rsid w:val="00F40382"/>
    <w:rsid w:val="00F407FA"/>
    <w:rsid w:val="00F40EB0"/>
    <w:rsid w:val="00F41259"/>
    <w:rsid w:val="00F41B6F"/>
    <w:rsid w:val="00F42785"/>
    <w:rsid w:val="00F4401C"/>
    <w:rsid w:val="00F452F4"/>
    <w:rsid w:val="00F457E6"/>
    <w:rsid w:val="00F45901"/>
    <w:rsid w:val="00F47186"/>
    <w:rsid w:val="00F47868"/>
    <w:rsid w:val="00F514AC"/>
    <w:rsid w:val="00F52055"/>
    <w:rsid w:val="00F52B88"/>
    <w:rsid w:val="00F52BAB"/>
    <w:rsid w:val="00F5326B"/>
    <w:rsid w:val="00F540D4"/>
    <w:rsid w:val="00F55051"/>
    <w:rsid w:val="00F5518F"/>
    <w:rsid w:val="00F56013"/>
    <w:rsid w:val="00F56BB2"/>
    <w:rsid w:val="00F609E0"/>
    <w:rsid w:val="00F62832"/>
    <w:rsid w:val="00F62988"/>
    <w:rsid w:val="00F62DAF"/>
    <w:rsid w:val="00F63C61"/>
    <w:rsid w:val="00F6407C"/>
    <w:rsid w:val="00F644D8"/>
    <w:rsid w:val="00F65294"/>
    <w:rsid w:val="00F652F0"/>
    <w:rsid w:val="00F653FA"/>
    <w:rsid w:val="00F66ECA"/>
    <w:rsid w:val="00F67B64"/>
    <w:rsid w:val="00F700C4"/>
    <w:rsid w:val="00F70539"/>
    <w:rsid w:val="00F70727"/>
    <w:rsid w:val="00F744C5"/>
    <w:rsid w:val="00F746C2"/>
    <w:rsid w:val="00F768B3"/>
    <w:rsid w:val="00F77429"/>
    <w:rsid w:val="00F776F9"/>
    <w:rsid w:val="00F77BAA"/>
    <w:rsid w:val="00F77E39"/>
    <w:rsid w:val="00F77F0E"/>
    <w:rsid w:val="00F80777"/>
    <w:rsid w:val="00F80D1C"/>
    <w:rsid w:val="00F81308"/>
    <w:rsid w:val="00F814EB"/>
    <w:rsid w:val="00F81A2E"/>
    <w:rsid w:val="00F8232A"/>
    <w:rsid w:val="00F84D24"/>
    <w:rsid w:val="00F850BB"/>
    <w:rsid w:val="00F8583D"/>
    <w:rsid w:val="00F8660E"/>
    <w:rsid w:val="00F870CA"/>
    <w:rsid w:val="00F8799F"/>
    <w:rsid w:val="00F879F0"/>
    <w:rsid w:val="00F90B65"/>
    <w:rsid w:val="00F90BDB"/>
    <w:rsid w:val="00F9111F"/>
    <w:rsid w:val="00F91530"/>
    <w:rsid w:val="00F9189F"/>
    <w:rsid w:val="00F91E21"/>
    <w:rsid w:val="00F920F6"/>
    <w:rsid w:val="00F92316"/>
    <w:rsid w:val="00F9237E"/>
    <w:rsid w:val="00F940AF"/>
    <w:rsid w:val="00F94667"/>
    <w:rsid w:val="00F94C79"/>
    <w:rsid w:val="00F953BB"/>
    <w:rsid w:val="00F959A5"/>
    <w:rsid w:val="00F95DD3"/>
    <w:rsid w:val="00F96097"/>
    <w:rsid w:val="00F96B47"/>
    <w:rsid w:val="00F97789"/>
    <w:rsid w:val="00FA0A9C"/>
    <w:rsid w:val="00FA1242"/>
    <w:rsid w:val="00FA19BC"/>
    <w:rsid w:val="00FA321A"/>
    <w:rsid w:val="00FA362C"/>
    <w:rsid w:val="00FA407A"/>
    <w:rsid w:val="00FA5882"/>
    <w:rsid w:val="00FA599D"/>
    <w:rsid w:val="00FA5EF0"/>
    <w:rsid w:val="00FA7767"/>
    <w:rsid w:val="00FA7C61"/>
    <w:rsid w:val="00FA7EF0"/>
    <w:rsid w:val="00FB00E1"/>
    <w:rsid w:val="00FB107C"/>
    <w:rsid w:val="00FB15A3"/>
    <w:rsid w:val="00FB23C5"/>
    <w:rsid w:val="00FB2483"/>
    <w:rsid w:val="00FB2541"/>
    <w:rsid w:val="00FB2B73"/>
    <w:rsid w:val="00FB34F6"/>
    <w:rsid w:val="00FB35D5"/>
    <w:rsid w:val="00FB43BD"/>
    <w:rsid w:val="00FB45C8"/>
    <w:rsid w:val="00FB4808"/>
    <w:rsid w:val="00FB50DD"/>
    <w:rsid w:val="00FB528E"/>
    <w:rsid w:val="00FB5387"/>
    <w:rsid w:val="00FB6728"/>
    <w:rsid w:val="00FB6A84"/>
    <w:rsid w:val="00FB7A78"/>
    <w:rsid w:val="00FB7FB8"/>
    <w:rsid w:val="00FC00F8"/>
    <w:rsid w:val="00FC088A"/>
    <w:rsid w:val="00FC0C91"/>
    <w:rsid w:val="00FC1C4F"/>
    <w:rsid w:val="00FC2688"/>
    <w:rsid w:val="00FC3403"/>
    <w:rsid w:val="00FC40E8"/>
    <w:rsid w:val="00FC4608"/>
    <w:rsid w:val="00FC4703"/>
    <w:rsid w:val="00FC63EF"/>
    <w:rsid w:val="00FC65F5"/>
    <w:rsid w:val="00FC720D"/>
    <w:rsid w:val="00FD082B"/>
    <w:rsid w:val="00FD0BA5"/>
    <w:rsid w:val="00FD0FC5"/>
    <w:rsid w:val="00FD11DE"/>
    <w:rsid w:val="00FD11E5"/>
    <w:rsid w:val="00FD131C"/>
    <w:rsid w:val="00FD17A6"/>
    <w:rsid w:val="00FD2130"/>
    <w:rsid w:val="00FD37B5"/>
    <w:rsid w:val="00FD394D"/>
    <w:rsid w:val="00FD3A99"/>
    <w:rsid w:val="00FD4AA3"/>
    <w:rsid w:val="00FD4F5B"/>
    <w:rsid w:val="00FD5936"/>
    <w:rsid w:val="00FD5E7F"/>
    <w:rsid w:val="00FD7563"/>
    <w:rsid w:val="00FD75F8"/>
    <w:rsid w:val="00FD7E96"/>
    <w:rsid w:val="00FE2122"/>
    <w:rsid w:val="00FE2554"/>
    <w:rsid w:val="00FE344A"/>
    <w:rsid w:val="00FE390E"/>
    <w:rsid w:val="00FE41AD"/>
    <w:rsid w:val="00FE59D8"/>
    <w:rsid w:val="00FE6508"/>
    <w:rsid w:val="00FE66FA"/>
    <w:rsid w:val="00FF0168"/>
    <w:rsid w:val="00FF274C"/>
    <w:rsid w:val="00FF2997"/>
    <w:rsid w:val="00FF3347"/>
    <w:rsid w:val="00FF3F34"/>
    <w:rsid w:val="00FF5C42"/>
    <w:rsid w:val="00FF5E6E"/>
    <w:rsid w:val="00FF679A"/>
    <w:rsid w:val="00FF798C"/>
    <w:rsid w:val="01FACDE6"/>
    <w:rsid w:val="03858F3A"/>
    <w:rsid w:val="03FA787B"/>
    <w:rsid w:val="046C68C3"/>
    <w:rsid w:val="05EDD721"/>
    <w:rsid w:val="06ED5838"/>
    <w:rsid w:val="0742B19B"/>
    <w:rsid w:val="07A2933F"/>
    <w:rsid w:val="080DA1A1"/>
    <w:rsid w:val="085A6395"/>
    <w:rsid w:val="087E03D3"/>
    <w:rsid w:val="08D42283"/>
    <w:rsid w:val="08F7058B"/>
    <w:rsid w:val="09EFB785"/>
    <w:rsid w:val="09F848F6"/>
    <w:rsid w:val="0A0B4AB3"/>
    <w:rsid w:val="0A6E003F"/>
    <w:rsid w:val="0A9B4070"/>
    <w:rsid w:val="0ACEA1DA"/>
    <w:rsid w:val="0AE7D018"/>
    <w:rsid w:val="0BBD0BD2"/>
    <w:rsid w:val="0BF3B8DF"/>
    <w:rsid w:val="0C0B899E"/>
    <w:rsid w:val="0CB4EEF9"/>
    <w:rsid w:val="0D523D61"/>
    <w:rsid w:val="0DEA3A7A"/>
    <w:rsid w:val="0F5614C4"/>
    <w:rsid w:val="0F801FF6"/>
    <w:rsid w:val="10CE6310"/>
    <w:rsid w:val="112FF2EF"/>
    <w:rsid w:val="1206F7EF"/>
    <w:rsid w:val="134E415E"/>
    <w:rsid w:val="13CB37EF"/>
    <w:rsid w:val="153F65A1"/>
    <w:rsid w:val="15910DC2"/>
    <w:rsid w:val="15D9C60F"/>
    <w:rsid w:val="1608DB9F"/>
    <w:rsid w:val="16AA9A19"/>
    <w:rsid w:val="1821EFA7"/>
    <w:rsid w:val="186C0CD9"/>
    <w:rsid w:val="18D4C812"/>
    <w:rsid w:val="18F32A9B"/>
    <w:rsid w:val="19706EB2"/>
    <w:rsid w:val="19850B0F"/>
    <w:rsid w:val="198F8E4A"/>
    <w:rsid w:val="1A029854"/>
    <w:rsid w:val="1A34B79B"/>
    <w:rsid w:val="1ACC9317"/>
    <w:rsid w:val="1B8750A2"/>
    <w:rsid w:val="1BA80142"/>
    <w:rsid w:val="1C38F703"/>
    <w:rsid w:val="1CF19154"/>
    <w:rsid w:val="1DB9C87B"/>
    <w:rsid w:val="1E310872"/>
    <w:rsid w:val="1E6CA828"/>
    <w:rsid w:val="1E94C67C"/>
    <w:rsid w:val="1F018B2E"/>
    <w:rsid w:val="1FB3D0B8"/>
    <w:rsid w:val="20273D3A"/>
    <w:rsid w:val="224654A6"/>
    <w:rsid w:val="229A018E"/>
    <w:rsid w:val="2426F419"/>
    <w:rsid w:val="246C4A59"/>
    <w:rsid w:val="24DECA85"/>
    <w:rsid w:val="25F1CD03"/>
    <w:rsid w:val="266A0421"/>
    <w:rsid w:val="27DA9932"/>
    <w:rsid w:val="2881BBF0"/>
    <w:rsid w:val="28A8A1C1"/>
    <w:rsid w:val="2923BDC6"/>
    <w:rsid w:val="2A0F4AAD"/>
    <w:rsid w:val="2A18331F"/>
    <w:rsid w:val="2A60EF7A"/>
    <w:rsid w:val="2B9ED7D8"/>
    <w:rsid w:val="2F04AE05"/>
    <w:rsid w:val="2F87D683"/>
    <w:rsid w:val="2FCE25F9"/>
    <w:rsid w:val="30AF470C"/>
    <w:rsid w:val="30FB3D48"/>
    <w:rsid w:val="3137A60E"/>
    <w:rsid w:val="326D8760"/>
    <w:rsid w:val="3286E21F"/>
    <w:rsid w:val="33029447"/>
    <w:rsid w:val="333EF3E3"/>
    <w:rsid w:val="360909FC"/>
    <w:rsid w:val="360EC9BB"/>
    <w:rsid w:val="3698A7A0"/>
    <w:rsid w:val="373EE0CB"/>
    <w:rsid w:val="38834B40"/>
    <w:rsid w:val="395BD393"/>
    <w:rsid w:val="397D20E5"/>
    <w:rsid w:val="3AE12E8B"/>
    <w:rsid w:val="3D50F835"/>
    <w:rsid w:val="3E6C6CF9"/>
    <w:rsid w:val="3FB7A78F"/>
    <w:rsid w:val="406E2EE9"/>
    <w:rsid w:val="409B2A7E"/>
    <w:rsid w:val="4258522D"/>
    <w:rsid w:val="425A85F7"/>
    <w:rsid w:val="429B211C"/>
    <w:rsid w:val="4347280E"/>
    <w:rsid w:val="436CB1E9"/>
    <w:rsid w:val="445AC1E5"/>
    <w:rsid w:val="44DD6E94"/>
    <w:rsid w:val="45043802"/>
    <w:rsid w:val="45D1E56D"/>
    <w:rsid w:val="45E28F40"/>
    <w:rsid w:val="462B9171"/>
    <w:rsid w:val="47168DFD"/>
    <w:rsid w:val="475F8E9E"/>
    <w:rsid w:val="4784DBD8"/>
    <w:rsid w:val="484542D4"/>
    <w:rsid w:val="4CE2A416"/>
    <w:rsid w:val="4D5F0DAB"/>
    <w:rsid w:val="4DB3ED39"/>
    <w:rsid w:val="4EC2E4BE"/>
    <w:rsid w:val="4EEF0323"/>
    <w:rsid w:val="4F1D8F80"/>
    <w:rsid w:val="4F7F79F0"/>
    <w:rsid w:val="501411B4"/>
    <w:rsid w:val="51C7621B"/>
    <w:rsid w:val="51E7097A"/>
    <w:rsid w:val="539A8A9D"/>
    <w:rsid w:val="5421D2DD"/>
    <w:rsid w:val="5432B5F7"/>
    <w:rsid w:val="557FA38F"/>
    <w:rsid w:val="55A63D42"/>
    <w:rsid w:val="5617E080"/>
    <w:rsid w:val="56224950"/>
    <w:rsid w:val="58117DCC"/>
    <w:rsid w:val="58DD598D"/>
    <w:rsid w:val="598909F4"/>
    <w:rsid w:val="5AD7885F"/>
    <w:rsid w:val="5AFE1996"/>
    <w:rsid w:val="5C81CE9C"/>
    <w:rsid w:val="5CC527CF"/>
    <w:rsid w:val="5DBAA1D6"/>
    <w:rsid w:val="5E73AF04"/>
    <w:rsid w:val="5F233E27"/>
    <w:rsid w:val="5F80694C"/>
    <w:rsid w:val="5F985913"/>
    <w:rsid w:val="6024F5BE"/>
    <w:rsid w:val="6085CBD8"/>
    <w:rsid w:val="616861F3"/>
    <w:rsid w:val="62E4CDE7"/>
    <w:rsid w:val="62F09D16"/>
    <w:rsid w:val="635D550D"/>
    <w:rsid w:val="63C59AA3"/>
    <w:rsid w:val="64D2E29D"/>
    <w:rsid w:val="655C5F2F"/>
    <w:rsid w:val="6573BEFC"/>
    <w:rsid w:val="66255B3A"/>
    <w:rsid w:val="6680372B"/>
    <w:rsid w:val="66E173BC"/>
    <w:rsid w:val="673EDF70"/>
    <w:rsid w:val="680B3DD1"/>
    <w:rsid w:val="680DFC06"/>
    <w:rsid w:val="688CDBB9"/>
    <w:rsid w:val="691F6528"/>
    <w:rsid w:val="696CCE25"/>
    <w:rsid w:val="6A12864E"/>
    <w:rsid w:val="6B775F2F"/>
    <w:rsid w:val="6CB47B2A"/>
    <w:rsid w:val="6D381D1D"/>
    <w:rsid w:val="6D435440"/>
    <w:rsid w:val="6E6E80EB"/>
    <w:rsid w:val="6ED55FE3"/>
    <w:rsid w:val="70C7F939"/>
    <w:rsid w:val="714F00FD"/>
    <w:rsid w:val="71F42187"/>
    <w:rsid w:val="73837A32"/>
    <w:rsid w:val="741D9B6F"/>
    <w:rsid w:val="758C0F44"/>
    <w:rsid w:val="772F9AF9"/>
    <w:rsid w:val="77BA39AC"/>
    <w:rsid w:val="77C979C9"/>
    <w:rsid w:val="7888C0CE"/>
    <w:rsid w:val="78DCFD52"/>
    <w:rsid w:val="79781E34"/>
    <w:rsid w:val="79F39032"/>
    <w:rsid w:val="79FFFCB7"/>
    <w:rsid w:val="7A75DE19"/>
    <w:rsid w:val="7AC3A9B4"/>
    <w:rsid w:val="7B0F6ACA"/>
    <w:rsid w:val="7BEB61C6"/>
    <w:rsid w:val="7C9924B5"/>
    <w:rsid w:val="7D6300D0"/>
  </w:rsids>
  <m:mathPr>
    <m:mathFont m:val="Cambria Math"/>
    <m:brkBin m:val="before"/>
    <m:brkBinSub m:val="--"/>
    <m:smallFrac m:val="0"/>
    <m:dispDef/>
    <m:lMargin m:val="0"/>
    <m:rMargin m:val="0"/>
    <m:defJc m:val="centerGroup"/>
    <m:wrapIndent m:val="1440"/>
    <m:intLim m:val="subSup"/>
    <m:naryLim m:val="undOvr"/>
  </m:mathPr>
  <w:themeFontLang w:val="en-GB"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FB2A3E"/>
  <w15:docId w15:val="{59CA7E67-5334-4D4D-B015-D9EBD98AD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450"/>
    <w:pPr>
      <w:spacing w:after="240" w:line="320" w:lineRule="atLeast"/>
    </w:pPr>
    <w:rPr>
      <w:rFonts w:ascii="Arial" w:hAnsi="Arial"/>
      <w:sz w:val="24"/>
    </w:rPr>
  </w:style>
  <w:style w:type="paragraph" w:styleId="Heading1">
    <w:name w:val="heading 1"/>
    <w:basedOn w:val="Normal"/>
    <w:next w:val="Normal"/>
    <w:link w:val="Heading1Char"/>
    <w:qFormat/>
    <w:rsid w:val="001640A7"/>
    <w:pPr>
      <w:keepNext/>
      <w:keepLines/>
      <w:pageBreakBefore/>
      <w:spacing w:after="840"/>
      <w:outlineLvl w:val="0"/>
    </w:pPr>
    <w:rPr>
      <w:rFonts w:eastAsiaTheme="majorEastAsia" w:cstheme="majorBidi"/>
      <w:color w:val="00447C" w:themeColor="text1"/>
      <w:sz w:val="50"/>
      <w:szCs w:val="32"/>
    </w:rPr>
  </w:style>
  <w:style w:type="paragraph" w:styleId="Heading2">
    <w:name w:val="heading 2"/>
    <w:basedOn w:val="Normal"/>
    <w:next w:val="Normal"/>
    <w:link w:val="Heading2Char"/>
    <w:unhideWhenUsed/>
    <w:qFormat/>
    <w:rsid w:val="003E105C"/>
    <w:pPr>
      <w:keepNext/>
      <w:keepLines/>
      <w:spacing w:before="480"/>
      <w:outlineLvl w:val="1"/>
    </w:pPr>
    <w:rPr>
      <w:rFonts w:eastAsiaTheme="majorEastAsia" w:cstheme="majorBidi"/>
      <w:color w:val="00447C" w:themeColor="text1"/>
      <w:sz w:val="32"/>
      <w:szCs w:val="26"/>
    </w:rPr>
  </w:style>
  <w:style w:type="paragraph" w:styleId="Heading3">
    <w:name w:val="heading 3"/>
    <w:basedOn w:val="Normal"/>
    <w:next w:val="Normal"/>
    <w:link w:val="Heading3Char"/>
    <w:unhideWhenUsed/>
    <w:qFormat/>
    <w:rsid w:val="00E03EDD"/>
    <w:pPr>
      <w:keepNext/>
      <w:keepLines/>
      <w:spacing w:before="240" w:after="0"/>
      <w:outlineLvl w:val="2"/>
    </w:pPr>
    <w:rPr>
      <w:rFonts w:eastAsiaTheme="majorEastAsia" w:cstheme="majorBidi"/>
      <w:b/>
      <w:color w:val="00447C" w:themeColor="text1"/>
      <w:szCs w:val="24"/>
    </w:rPr>
  </w:style>
  <w:style w:type="paragraph" w:styleId="Heading4">
    <w:name w:val="heading 4"/>
    <w:basedOn w:val="Normal"/>
    <w:next w:val="Normal"/>
    <w:link w:val="Heading4Char"/>
    <w:unhideWhenUsed/>
    <w:qFormat/>
    <w:rsid w:val="00E03EDD"/>
    <w:pPr>
      <w:keepNext/>
      <w:keepLines/>
      <w:spacing w:before="240" w:after="0"/>
      <w:outlineLvl w:val="3"/>
    </w:pPr>
    <w:rPr>
      <w:rFonts w:eastAsiaTheme="majorEastAsia" w:cstheme="majorBidi"/>
      <w:iCs/>
      <w:color w:val="00447C"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DECC1">
    <w:name w:val="DECC 1"/>
    <w:basedOn w:val="TableNormal"/>
    <w:uiPriority w:val="99"/>
    <w:rsid w:val="00E602AA"/>
    <w:pPr>
      <w:spacing w:before="120" w:after="120" w:line="320" w:lineRule="atLeast"/>
    </w:pPr>
    <w:rPr>
      <w:rFonts w:ascii="Arial" w:hAnsi="Arial"/>
      <w:sz w:val="24"/>
    </w:rPr>
    <w:tblPr>
      <w:tblStyleRowBandSize w:val="1"/>
    </w:tblPr>
    <w:tblStylePr w:type="firstRow">
      <w:pPr>
        <w:wordWrap/>
        <w:spacing w:beforeLines="0" w:before="120" w:beforeAutospacing="0" w:afterLines="0" w:after="120" w:afterAutospacing="0" w:line="320" w:lineRule="atLeast"/>
        <w:contextualSpacing w:val="0"/>
      </w:pPr>
      <w:rPr>
        <w:b/>
        <w:color w:val="00447C" w:themeColor="text1"/>
      </w:rPr>
      <w:tblPr/>
      <w:tcPr>
        <w:tcBorders>
          <w:top w:val="nil"/>
          <w:left w:val="nil"/>
          <w:bottom w:val="single" w:sz="12" w:space="0" w:color="009FDA" w:themeColor="background2"/>
          <w:right w:val="nil"/>
          <w:insideH w:val="nil"/>
          <w:insideV w:val="single" w:sz="4" w:space="0" w:color="auto"/>
          <w:tl2br w:val="nil"/>
          <w:tr2bl w:val="nil"/>
        </w:tcBorders>
        <w:shd w:val="clear" w:color="auto" w:fill="C4EEFF" w:themeFill="background2" w:themeFillTint="33"/>
      </w:tcPr>
    </w:tblStylePr>
    <w:tblStylePr w:type="band1Horz">
      <w:pPr>
        <w:wordWrap/>
        <w:spacing w:beforeLines="0" w:before="120" w:beforeAutospacing="0" w:afterLines="0" w:after="120" w:afterAutospacing="0" w:line="320" w:lineRule="atLeast"/>
        <w:contextualSpacing w:val="0"/>
      </w:pPr>
      <w:tblPr/>
      <w:tcPr>
        <w:tcBorders>
          <w:top w:val="nil"/>
          <w:left w:val="nil"/>
          <w:bottom w:val="single" w:sz="12" w:space="0" w:color="auto"/>
          <w:right w:val="nil"/>
          <w:insideH w:val="nil"/>
          <w:insideV w:val="single" w:sz="4" w:space="0" w:color="auto"/>
          <w:tl2br w:val="nil"/>
          <w:tr2bl w:val="nil"/>
        </w:tcBorders>
      </w:tcPr>
    </w:tblStylePr>
    <w:tblStylePr w:type="band2Horz">
      <w:pPr>
        <w:wordWrap/>
        <w:spacing w:beforeLines="0" w:before="120" w:beforeAutospacing="0" w:afterLines="0" w:after="120" w:afterAutospacing="0" w:line="320" w:lineRule="atLeast"/>
        <w:contextualSpacing w:val="0"/>
      </w:pPr>
      <w:tblPr/>
      <w:tcPr>
        <w:tcBorders>
          <w:top w:val="nil"/>
          <w:left w:val="nil"/>
          <w:bottom w:val="single" w:sz="12" w:space="0" w:color="auto"/>
          <w:right w:val="nil"/>
          <w:insideH w:val="nil"/>
          <w:insideV w:val="single" w:sz="4" w:space="0" w:color="auto"/>
          <w:tl2br w:val="nil"/>
          <w:tr2bl w:val="nil"/>
        </w:tcBorders>
      </w:tcPr>
    </w:tblStylePr>
  </w:style>
  <w:style w:type="paragraph" w:customStyle="1" w:styleId="CoverTitle">
    <w:name w:val="Cover Title"/>
    <w:basedOn w:val="Normal"/>
    <w:qFormat/>
    <w:rsid w:val="004843F1"/>
    <w:pPr>
      <w:spacing w:after="0" w:line="240" w:lineRule="auto"/>
    </w:pPr>
    <w:rPr>
      <w:caps/>
      <w:color w:val="00447C" w:themeColor="text1"/>
      <w:sz w:val="84"/>
    </w:rPr>
  </w:style>
  <w:style w:type="paragraph" w:customStyle="1" w:styleId="CoverSubtitle">
    <w:name w:val="Cover Subtitle"/>
    <w:basedOn w:val="Normal"/>
    <w:qFormat/>
    <w:rsid w:val="00F5326B"/>
    <w:pPr>
      <w:spacing w:before="240" w:after="0" w:line="240" w:lineRule="auto"/>
    </w:pPr>
    <w:rPr>
      <w:color w:val="00447C" w:themeColor="text1"/>
      <w:sz w:val="48"/>
    </w:rPr>
  </w:style>
  <w:style w:type="table" w:styleId="TableGrid">
    <w:name w:val="Table Grid"/>
    <w:basedOn w:val="TableNormal"/>
    <w:uiPriority w:val="39"/>
    <w:rsid w:val="00F532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41">
    <w:name w:val="List Table 41"/>
    <w:basedOn w:val="TableNormal"/>
    <w:uiPriority w:val="49"/>
    <w:rsid w:val="00F5326B"/>
    <w:pPr>
      <w:spacing w:after="0" w:line="240" w:lineRule="auto"/>
    </w:pPr>
    <w:tblPr>
      <w:tblStyleRowBandSize w:val="1"/>
      <w:tblStyleColBandSize w:val="1"/>
      <w:tblBorders>
        <w:top w:val="single" w:sz="4" w:space="0" w:color="1795FF" w:themeColor="text1" w:themeTint="99"/>
        <w:left w:val="single" w:sz="4" w:space="0" w:color="1795FF" w:themeColor="text1" w:themeTint="99"/>
        <w:bottom w:val="single" w:sz="4" w:space="0" w:color="1795FF" w:themeColor="text1" w:themeTint="99"/>
        <w:right w:val="single" w:sz="4" w:space="0" w:color="1795FF" w:themeColor="text1" w:themeTint="99"/>
        <w:insideH w:val="single" w:sz="4" w:space="0" w:color="1795FF" w:themeColor="text1" w:themeTint="99"/>
      </w:tblBorders>
    </w:tblPr>
    <w:tblStylePr w:type="firstRow">
      <w:rPr>
        <w:b/>
        <w:bCs/>
        <w:color w:val="FFFFFF" w:themeColor="background1"/>
      </w:rPr>
      <w:tblPr/>
      <w:tcPr>
        <w:tcBorders>
          <w:top w:val="single" w:sz="4" w:space="0" w:color="00447C" w:themeColor="text1"/>
          <w:left w:val="single" w:sz="4" w:space="0" w:color="00447C" w:themeColor="text1"/>
          <w:bottom w:val="single" w:sz="4" w:space="0" w:color="00447C" w:themeColor="text1"/>
          <w:right w:val="single" w:sz="4" w:space="0" w:color="00447C" w:themeColor="text1"/>
          <w:insideH w:val="nil"/>
        </w:tcBorders>
        <w:shd w:val="clear" w:color="auto" w:fill="00447C" w:themeFill="text1"/>
      </w:tcPr>
    </w:tblStylePr>
    <w:tblStylePr w:type="lastRow">
      <w:rPr>
        <w:b/>
        <w:bCs/>
      </w:rPr>
      <w:tblPr/>
      <w:tcPr>
        <w:tcBorders>
          <w:top w:val="double" w:sz="4" w:space="0" w:color="1795FF" w:themeColor="text1" w:themeTint="99"/>
        </w:tcBorders>
      </w:tcPr>
    </w:tblStylePr>
    <w:tblStylePr w:type="firstCol">
      <w:rPr>
        <w:b/>
        <w:bCs/>
      </w:rPr>
    </w:tblStylePr>
    <w:tblStylePr w:type="lastCol">
      <w:rPr>
        <w:b/>
        <w:bCs/>
      </w:rPr>
    </w:tblStylePr>
    <w:tblStylePr w:type="band1Vert">
      <w:tblPr/>
      <w:tcPr>
        <w:shd w:val="clear" w:color="auto" w:fill="B1DBFF" w:themeFill="text1" w:themeFillTint="33"/>
      </w:tcPr>
    </w:tblStylePr>
    <w:tblStylePr w:type="band1Horz">
      <w:tblPr/>
      <w:tcPr>
        <w:shd w:val="clear" w:color="auto" w:fill="B1DBFF" w:themeFill="text1" w:themeFillTint="33"/>
      </w:tcPr>
    </w:tblStylePr>
  </w:style>
  <w:style w:type="paragraph" w:customStyle="1" w:styleId="CoverDate">
    <w:name w:val="Cover Date"/>
    <w:basedOn w:val="Normal"/>
    <w:qFormat/>
    <w:rsid w:val="006D0CF5"/>
    <w:pPr>
      <w:spacing w:after="0" w:line="240" w:lineRule="auto"/>
    </w:pPr>
    <w:rPr>
      <w:color w:val="000000" w:themeColor="text2"/>
      <w:sz w:val="32"/>
    </w:rPr>
  </w:style>
  <w:style w:type="paragraph" w:customStyle="1" w:styleId="IntroPullout">
    <w:name w:val="Intro Pullout"/>
    <w:basedOn w:val="Normal"/>
    <w:next w:val="Normal"/>
    <w:uiPriority w:val="2"/>
    <w:qFormat/>
    <w:rsid w:val="00C00539"/>
    <w:pPr>
      <w:spacing w:after="440" w:line="440" w:lineRule="atLeast"/>
    </w:pPr>
    <w:rPr>
      <w:color w:val="00447C" w:themeColor="text1"/>
      <w:sz w:val="32"/>
    </w:rPr>
  </w:style>
  <w:style w:type="character" w:customStyle="1" w:styleId="Heading2Char">
    <w:name w:val="Heading 2 Char"/>
    <w:basedOn w:val="DefaultParagraphFont"/>
    <w:link w:val="Heading2"/>
    <w:rsid w:val="0092670E"/>
    <w:rPr>
      <w:rFonts w:ascii="Arial" w:eastAsiaTheme="majorEastAsia" w:hAnsi="Arial" w:cstheme="majorBidi"/>
      <w:color w:val="00447C" w:themeColor="text1"/>
      <w:sz w:val="32"/>
      <w:szCs w:val="26"/>
    </w:rPr>
  </w:style>
  <w:style w:type="character" w:customStyle="1" w:styleId="Heading1Char">
    <w:name w:val="Heading 1 Char"/>
    <w:basedOn w:val="DefaultParagraphFont"/>
    <w:link w:val="Heading1"/>
    <w:rsid w:val="001640A7"/>
    <w:rPr>
      <w:rFonts w:ascii="Arial" w:eastAsiaTheme="majorEastAsia" w:hAnsi="Arial" w:cstheme="majorBidi"/>
      <w:color w:val="00447C" w:themeColor="text1"/>
      <w:sz w:val="50"/>
      <w:szCs w:val="32"/>
    </w:rPr>
  </w:style>
  <w:style w:type="character" w:customStyle="1" w:styleId="Heading3Char">
    <w:name w:val="Heading 3 Char"/>
    <w:basedOn w:val="DefaultParagraphFont"/>
    <w:link w:val="Heading3"/>
    <w:rsid w:val="0092670E"/>
    <w:rPr>
      <w:rFonts w:ascii="Arial" w:eastAsiaTheme="majorEastAsia" w:hAnsi="Arial" w:cstheme="majorBidi"/>
      <w:b/>
      <w:color w:val="00447C" w:themeColor="text1"/>
      <w:sz w:val="24"/>
      <w:szCs w:val="24"/>
    </w:rPr>
  </w:style>
  <w:style w:type="character" w:customStyle="1" w:styleId="Heading4Char">
    <w:name w:val="Heading 4 Char"/>
    <w:basedOn w:val="DefaultParagraphFont"/>
    <w:link w:val="Heading4"/>
    <w:rsid w:val="0092670E"/>
    <w:rPr>
      <w:rFonts w:ascii="Arial" w:eastAsiaTheme="majorEastAsia" w:hAnsi="Arial" w:cstheme="majorBidi"/>
      <w:iCs/>
      <w:color w:val="00447C" w:themeColor="text1"/>
      <w:sz w:val="24"/>
    </w:rPr>
  </w:style>
  <w:style w:type="paragraph" w:styleId="Quote">
    <w:name w:val="Quote"/>
    <w:basedOn w:val="Normal"/>
    <w:next w:val="Normal"/>
    <w:link w:val="QuoteChar"/>
    <w:uiPriority w:val="29"/>
    <w:qFormat/>
    <w:rsid w:val="0070165C"/>
    <w:pPr>
      <w:spacing w:line="240" w:lineRule="auto"/>
      <w:ind w:left="567" w:right="567"/>
    </w:pPr>
    <w:rPr>
      <w:i/>
      <w:iCs/>
    </w:rPr>
  </w:style>
  <w:style w:type="character" w:customStyle="1" w:styleId="QuoteChar">
    <w:name w:val="Quote Char"/>
    <w:basedOn w:val="DefaultParagraphFont"/>
    <w:link w:val="Quote"/>
    <w:uiPriority w:val="29"/>
    <w:rsid w:val="0070165C"/>
    <w:rPr>
      <w:rFonts w:ascii="Arial" w:hAnsi="Arial"/>
      <w:i/>
      <w:iCs/>
      <w:sz w:val="24"/>
    </w:rPr>
  </w:style>
  <w:style w:type="paragraph" w:customStyle="1" w:styleId="QuoteAttribution">
    <w:name w:val="Quote Attribution"/>
    <w:basedOn w:val="Normal"/>
    <w:next w:val="Normal"/>
    <w:uiPriority w:val="2"/>
    <w:qFormat/>
    <w:rsid w:val="0070165C"/>
    <w:pPr>
      <w:spacing w:line="240" w:lineRule="auto"/>
      <w:ind w:left="567" w:right="567"/>
      <w:jc w:val="right"/>
    </w:pPr>
  </w:style>
  <w:style w:type="paragraph" w:styleId="Header">
    <w:name w:val="header"/>
    <w:basedOn w:val="Normal"/>
    <w:link w:val="HeaderChar"/>
    <w:uiPriority w:val="99"/>
    <w:unhideWhenUsed/>
    <w:rsid w:val="00672638"/>
    <w:pPr>
      <w:tabs>
        <w:tab w:val="center" w:pos="4513"/>
        <w:tab w:val="right" w:pos="9026"/>
      </w:tabs>
      <w:spacing w:after="360" w:line="240" w:lineRule="auto"/>
    </w:pPr>
    <w:rPr>
      <w:color w:val="00447C" w:themeColor="text1"/>
    </w:rPr>
  </w:style>
  <w:style w:type="paragraph" w:styleId="Caption">
    <w:name w:val="caption"/>
    <w:basedOn w:val="Normal"/>
    <w:next w:val="Normal"/>
    <w:uiPriority w:val="99"/>
    <w:unhideWhenUsed/>
    <w:qFormat/>
    <w:rsid w:val="000E705B"/>
    <w:pPr>
      <w:spacing w:before="60"/>
    </w:pPr>
    <w:rPr>
      <w:b/>
      <w:iCs/>
      <w:color w:val="000000" w:themeColor="text2"/>
      <w:sz w:val="20"/>
      <w:szCs w:val="18"/>
    </w:rPr>
  </w:style>
  <w:style w:type="paragraph" w:customStyle="1" w:styleId="FiguresChartsTitle">
    <w:name w:val="Figures/Charts Title"/>
    <w:basedOn w:val="Normal"/>
    <w:next w:val="Normal"/>
    <w:uiPriority w:val="9"/>
    <w:qFormat/>
    <w:rsid w:val="00C00539"/>
    <w:pPr>
      <w:spacing w:before="120" w:after="60"/>
    </w:pPr>
    <w:rPr>
      <w:b/>
      <w:color w:val="00447C" w:themeColor="text1"/>
    </w:rPr>
  </w:style>
  <w:style w:type="character" w:customStyle="1" w:styleId="HeaderChar">
    <w:name w:val="Header Char"/>
    <w:basedOn w:val="DefaultParagraphFont"/>
    <w:link w:val="Header"/>
    <w:uiPriority w:val="99"/>
    <w:rsid w:val="00672638"/>
    <w:rPr>
      <w:rFonts w:ascii="Arial" w:hAnsi="Arial"/>
      <w:color w:val="00447C" w:themeColor="text1"/>
      <w:sz w:val="24"/>
    </w:rPr>
  </w:style>
  <w:style w:type="paragraph" w:styleId="Footer">
    <w:name w:val="footer"/>
    <w:basedOn w:val="Normal"/>
    <w:link w:val="FooterChar"/>
    <w:uiPriority w:val="99"/>
    <w:unhideWhenUsed/>
    <w:rsid w:val="00F52BAB"/>
    <w:pPr>
      <w:tabs>
        <w:tab w:val="center" w:pos="4513"/>
        <w:tab w:val="right" w:pos="9026"/>
      </w:tabs>
      <w:spacing w:after="0" w:line="240" w:lineRule="auto"/>
    </w:pPr>
  </w:style>
  <w:style w:type="character" w:customStyle="1" w:styleId="FooterChar">
    <w:name w:val="Footer Char"/>
    <w:basedOn w:val="DefaultParagraphFont"/>
    <w:link w:val="Footer"/>
    <w:uiPriority w:val="99"/>
    <w:rsid w:val="00F52BAB"/>
    <w:rPr>
      <w:rFonts w:ascii="Arial" w:hAnsi="Arial"/>
      <w:sz w:val="24"/>
    </w:rPr>
  </w:style>
  <w:style w:type="character" w:styleId="PageNumber">
    <w:name w:val="page number"/>
    <w:uiPriority w:val="99"/>
    <w:unhideWhenUsed/>
    <w:rsid w:val="00F52BAB"/>
    <w:rPr>
      <w:color w:val="002C77"/>
    </w:rPr>
  </w:style>
  <w:style w:type="paragraph" w:styleId="ListParagraph">
    <w:name w:val="List Paragraph"/>
    <w:basedOn w:val="Normal"/>
    <w:uiPriority w:val="34"/>
    <w:qFormat/>
    <w:rsid w:val="00041AC5"/>
    <w:pPr>
      <w:ind w:left="720"/>
      <w:contextualSpacing/>
    </w:pPr>
  </w:style>
  <w:style w:type="paragraph" w:customStyle="1" w:styleId="BulletList1">
    <w:name w:val="Bullet List 1"/>
    <w:basedOn w:val="Normal"/>
    <w:uiPriority w:val="1"/>
    <w:qFormat/>
    <w:rsid w:val="008935AF"/>
    <w:pPr>
      <w:numPr>
        <w:numId w:val="2"/>
      </w:numPr>
      <w:tabs>
        <w:tab w:val="left" w:pos="284"/>
      </w:tabs>
      <w:ind w:left="284" w:hanging="284"/>
    </w:pPr>
  </w:style>
  <w:style w:type="paragraph" w:customStyle="1" w:styleId="BulletList2">
    <w:name w:val="Bullet List 2"/>
    <w:basedOn w:val="Normal"/>
    <w:uiPriority w:val="1"/>
    <w:qFormat/>
    <w:rsid w:val="008935AF"/>
    <w:pPr>
      <w:numPr>
        <w:numId w:val="3"/>
      </w:numPr>
      <w:tabs>
        <w:tab w:val="left" w:pos="567"/>
      </w:tabs>
      <w:ind w:left="568" w:hanging="284"/>
    </w:pPr>
  </w:style>
  <w:style w:type="paragraph" w:customStyle="1" w:styleId="BulletList3">
    <w:name w:val="Bullet List 3"/>
    <w:basedOn w:val="Normal"/>
    <w:uiPriority w:val="1"/>
    <w:qFormat/>
    <w:rsid w:val="008935AF"/>
    <w:pPr>
      <w:numPr>
        <w:numId w:val="4"/>
      </w:numPr>
      <w:tabs>
        <w:tab w:val="left" w:pos="851"/>
      </w:tabs>
      <w:ind w:left="851" w:hanging="284"/>
    </w:pPr>
  </w:style>
  <w:style w:type="paragraph" w:customStyle="1" w:styleId="NormalIndented1">
    <w:name w:val="Normal Indented 1"/>
    <w:basedOn w:val="Normal"/>
    <w:qFormat/>
    <w:rsid w:val="00AB76D8"/>
    <w:pPr>
      <w:ind w:left="284"/>
    </w:pPr>
  </w:style>
  <w:style w:type="paragraph" w:customStyle="1" w:styleId="NormalIndented2">
    <w:name w:val="Normal Indented 2"/>
    <w:basedOn w:val="Normal"/>
    <w:qFormat/>
    <w:rsid w:val="00AB76D8"/>
    <w:pPr>
      <w:ind w:left="567"/>
    </w:pPr>
  </w:style>
  <w:style w:type="paragraph" w:customStyle="1" w:styleId="NormalIndented3">
    <w:name w:val="Normal Indented 3"/>
    <w:basedOn w:val="Normal"/>
    <w:qFormat/>
    <w:rsid w:val="00AB76D8"/>
    <w:pPr>
      <w:ind w:left="851"/>
    </w:pPr>
  </w:style>
  <w:style w:type="paragraph" w:customStyle="1" w:styleId="NotesExample">
    <w:name w:val="Notes/Example"/>
    <w:basedOn w:val="Normal"/>
    <w:next w:val="Normal"/>
    <w:uiPriority w:val="2"/>
    <w:qFormat/>
    <w:rsid w:val="00A109E7"/>
    <w:pPr>
      <w:spacing w:before="120" w:after="120"/>
    </w:pPr>
    <w:rPr>
      <w:b/>
    </w:rPr>
  </w:style>
  <w:style w:type="paragraph" w:customStyle="1" w:styleId="NormalIndented">
    <w:name w:val="Normal Indented"/>
    <w:basedOn w:val="Normal"/>
    <w:qFormat/>
    <w:rsid w:val="003A245A"/>
    <w:pPr>
      <w:ind w:left="851"/>
    </w:pPr>
  </w:style>
  <w:style w:type="character" w:customStyle="1" w:styleId="Colour">
    <w:name w:val="Colour"/>
    <w:basedOn w:val="DefaultParagraphFont"/>
    <w:uiPriority w:val="1"/>
    <w:qFormat/>
    <w:rsid w:val="00D51EAB"/>
    <w:rPr>
      <w:color w:val="00447C" w:themeColor="text1"/>
    </w:rPr>
  </w:style>
  <w:style w:type="paragraph" w:styleId="FootnoteText">
    <w:name w:val="footnote text"/>
    <w:basedOn w:val="Normal"/>
    <w:link w:val="FootnoteTextChar"/>
    <w:uiPriority w:val="99"/>
    <w:semiHidden/>
    <w:unhideWhenUsed/>
    <w:rsid w:val="00CD7CDC"/>
    <w:pPr>
      <w:spacing w:after="0" w:line="240" w:lineRule="auto"/>
      <w:ind w:left="567" w:hanging="567"/>
    </w:pPr>
    <w:rPr>
      <w:sz w:val="20"/>
      <w:szCs w:val="20"/>
    </w:rPr>
  </w:style>
  <w:style w:type="character" w:customStyle="1" w:styleId="FootnoteTextChar">
    <w:name w:val="Footnote Text Char"/>
    <w:basedOn w:val="DefaultParagraphFont"/>
    <w:link w:val="FootnoteText"/>
    <w:uiPriority w:val="99"/>
    <w:semiHidden/>
    <w:rsid w:val="00CD7CDC"/>
    <w:rPr>
      <w:rFonts w:ascii="Arial" w:hAnsi="Arial"/>
      <w:sz w:val="20"/>
      <w:szCs w:val="20"/>
    </w:rPr>
  </w:style>
  <w:style w:type="character" w:styleId="FootnoteReference">
    <w:name w:val="footnote reference"/>
    <w:basedOn w:val="DefaultParagraphFont"/>
    <w:uiPriority w:val="99"/>
    <w:semiHidden/>
    <w:unhideWhenUsed/>
    <w:rsid w:val="00CD7CDC"/>
    <w:rPr>
      <w:vertAlign w:val="superscript"/>
    </w:rPr>
  </w:style>
  <w:style w:type="table" w:customStyle="1" w:styleId="DECC2">
    <w:name w:val="DECC 2"/>
    <w:basedOn w:val="TableNormal"/>
    <w:uiPriority w:val="99"/>
    <w:rsid w:val="00E602AA"/>
    <w:pPr>
      <w:spacing w:before="120" w:after="120" w:line="320" w:lineRule="atLeast"/>
    </w:pPr>
    <w:rPr>
      <w:rFonts w:ascii="Arial" w:hAnsi="Arial"/>
      <w:sz w:val="24"/>
    </w:rPr>
    <w:tblPr>
      <w:tblStyleRowBandSize w:val="1"/>
    </w:tblPr>
    <w:tblStylePr w:type="firstRow">
      <w:pPr>
        <w:wordWrap/>
        <w:spacing w:beforeLines="0" w:before="120" w:beforeAutospacing="0" w:afterLines="0" w:after="120" w:afterAutospacing="0" w:line="320" w:lineRule="atLeast"/>
        <w:contextualSpacing w:val="0"/>
      </w:pPr>
      <w:rPr>
        <w:b/>
        <w:color w:val="00447C" w:themeColor="text1"/>
      </w:rPr>
      <w:tblPr/>
      <w:tcPr>
        <w:tcBorders>
          <w:top w:val="nil"/>
          <w:left w:val="nil"/>
          <w:bottom w:val="single" w:sz="12" w:space="0" w:color="009FDA" w:themeColor="background2"/>
          <w:right w:val="nil"/>
          <w:insideH w:val="nil"/>
          <w:insideV w:val="single" w:sz="4" w:space="0" w:color="auto"/>
          <w:tl2br w:val="nil"/>
          <w:tr2bl w:val="nil"/>
        </w:tcBorders>
        <w:shd w:val="clear" w:color="auto" w:fill="C4EEFF" w:themeFill="background2" w:themeFillTint="33"/>
      </w:tcPr>
    </w:tblStylePr>
    <w:tblStylePr w:type="band1Horz">
      <w:pPr>
        <w:wordWrap/>
        <w:spacing w:beforeLines="0" w:before="120" w:beforeAutospacing="0" w:afterLines="0" w:after="120" w:afterAutospacing="0" w:line="320" w:lineRule="atLeast"/>
        <w:contextualSpacing w:val="0"/>
      </w:pPr>
      <w:tblPr/>
      <w:tcPr>
        <w:tcBorders>
          <w:top w:val="nil"/>
          <w:left w:val="nil"/>
          <w:bottom w:val="single" w:sz="12" w:space="0" w:color="auto"/>
          <w:right w:val="nil"/>
          <w:insideH w:val="nil"/>
          <w:insideV w:val="single" w:sz="4" w:space="0" w:color="auto"/>
          <w:tl2br w:val="nil"/>
          <w:tr2bl w:val="nil"/>
        </w:tcBorders>
        <w:shd w:val="clear" w:color="auto" w:fill="E7E4E3"/>
      </w:tcPr>
    </w:tblStylePr>
    <w:tblStylePr w:type="band2Horz">
      <w:pPr>
        <w:wordWrap/>
        <w:spacing w:beforeLines="0" w:before="120" w:beforeAutospacing="0" w:afterLines="0" w:after="120" w:afterAutospacing="0" w:line="320" w:lineRule="atLeast"/>
        <w:contextualSpacing w:val="0"/>
      </w:pPr>
      <w:tblPr/>
      <w:tcPr>
        <w:tcBorders>
          <w:top w:val="nil"/>
          <w:left w:val="nil"/>
          <w:bottom w:val="single" w:sz="12" w:space="0" w:color="auto"/>
          <w:right w:val="nil"/>
          <w:insideH w:val="nil"/>
          <w:insideV w:val="single" w:sz="4" w:space="0" w:color="auto"/>
          <w:tl2br w:val="nil"/>
          <w:tr2bl w:val="nil"/>
        </w:tcBorders>
      </w:tcPr>
    </w:tblStylePr>
  </w:style>
  <w:style w:type="paragraph" w:customStyle="1" w:styleId="NumberList1">
    <w:name w:val="Number List 1"/>
    <w:basedOn w:val="Normal"/>
    <w:qFormat/>
    <w:rsid w:val="001640A7"/>
    <w:pPr>
      <w:numPr>
        <w:numId w:val="5"/>
      </w:numPr>
      <w:tabs>
        <w:tab w:val="left" w:pos="851"/>
      </w:tabs>
    </w:pPr>
  </w:style>
  <w:style w:type="paragraph" w:customStyle="1" w:styleId="NumberList2">
    <w:name w:val="Number List 2"/>
    <w:basedOn w:val="Normal"/>
    <w:qFormat/>
    <w:rsid w:val="001640A7"/>
    <w:pPr>
      <w:numPr>
        <w:ilvl w:val="1"/>
        <w:numId w:val="5"/>
      </w:numPr>
      <w:tabs>
        <w:tab w:val="left" w:pos="1701"/>
      </w:tabs>
    </w:pPr>
  </w:style>
  <w:style w:type="paragraph" w:customStyle="1" w:styleId="NumberList3">
    <w:name w:val="Number List 3"/>
    <w:basedOn w:val="Normal"/>
    <w:qFormat/>
    <w:rsid w:val="001640A7"/>
    <w:pPr>
      <w:numPr>
        <w:ilvl w:val="2"/>
        <w:numId w:val="5"/>
      </w:numPr>
      <w:tabs>
        <w:tab w:val="left" w:pos="2552"/>
      </w:tabs>
    </w:pPr>
  </w:style>
  <w:style w:type="table" w:customStyle="1" w:styleId="DECCBox2">
    <w:name w:val="DECC Box 2"/>
    <w:basedOn w:val="TableNormal"/>
    <w:uiPriority w:val="99"/>
    <w:rsid w:val="00034CEC"/>
    <w:pPr>
      <w:spacing w:after="0" w:line="240" w:lineRule="auto"/>
    </w:pPr>
    <w:rPr>
      <w:rFonts w:ascii="Arial" w:hAnsi="Arial"/>
      <w:sz w:val="24"/>
    </w:rPr>
    <w:tblPr>
      <w:tblCellMar>
        <w:top w:w="142" w:type="dxa"/>
        <w:left w:w="142" w:type="dxa"/>
        <w:bottom w:w="142" w:type="dxa"/>
        <w:right w:w="142" w:type="dxa"/>
      </w:tblCellMar>
    </w:tblPr>
    <w:tcPr>
      <w:shd w:val="clear" w:color="auto" w:fill="C4EEFF" w:themeFill="background2" w:themeFillTint="33"/>
      <w:tcMar>
        <w:bottom w:w="0" w:type="dxa"/>
      </w:tcMar>
    </w:tcPr>
    <w:tblStylePr w:type="firstRow">
      <w:rPr>
        <w:b/>
        <w:color w:val="FFFFFF" w:themeColor="background1"/>
      </w:rPr>
      <w:tblPr/>
      <w:tcPr>
        <w:tcBorders>
          <w:top w:val="nil"/>
          <w:left w:val="nil"/>
          <w:bottom w:val="nil"/>
          <w:right w:val="nil"/>
          <w:insideH w:val="nil"/>
          <w:insideV w:val="nil"/>
          <w:tl2br w:val="nil"/>
          <w:tr2bl w:val="nil"/>
        </w:tcBorders>
        <w:shd w:val="clear" w:color="auto" w:fill="00447C" w:themeFill="text1"/>
      </w:tcPr>
    </w:tblStylePr>
  </w:style>
  <w:style w:type="table" w:customStyle="1" w:styleId="GridTable2-Accent51">
    <w:name w:val="Grid Table 2 - Accent 51"/>
    <w:basedOn w:val="TableNormal"/>
    <w:uiPriority w:val="47"/>
    <w:rsid w:val="001B57C3"/>
    <w:pPr>
      <w:spacing w:after="0" w:line="240" w:lineRule="auto"/>
    </w:pPr>
    <w:tblPr>
      <w:tblStyleRowBandSize w:val="1"/>
      <w:tblStyleColBandSize w:val="1"/>
      <w:tblBorders>
        <w:top w:val="single" w:sz="2" w:space="0" w:color="FFD563" w:themeColor="accent5" w:themeTint="99"/>
        <w:bottom w:val="single" w:sz="2" w:space="0" w:color="FFD563" w:themeColor="accent5" w:themeTint="99"/>
        <w:insideH w:val="single" w:sz="2" w:space="0" w:color="FFD563" w:themeColor="accent5" w:themeTint="99"/>
        <w:insideV w:val="single" w:sz="2" w:space="0" w:color="FFD563" w:themeColor="accent5" w:themeTint="99"/>
      </w:tblBorders>
    </w:tblPr>
    <w:tblStylePr w:type="firstRow">
      <w:rPr>
        <w:b/>
        <w:bCs/>
      </w:rPr>
      <w:tblPr/>
      <w:tcPr>
        <w:tcBorders>
          <w:top w:val="nil"/>
          <w:bottom w:val="single" w:sz="12" w:space="0" w:color="FFD563" w:themeColor="accent5" w:themeTint="99"/>
          <w:insideH w:val="nil"/>
          <w:insideV w:val="nil"/>
        </w:tcBorders>
        <w:shd w:val="clear" w:color="auto" w:fill="FFFFFF" w:themeFill="background1"/>
      </w:tcPr>
    </w:tblStylePr>
    <w:tblStylePr w:type="lastRow">
      <w:rPr>
        <w:b/>
        <w:bCs/>
      </w:rPr>
      <w:tblPr/>
      <w:tcPr>
        <w:tcBorders>
          <w:top w:val="double" w:sz="2" w:space="0" w:color="FFD563"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1CB" w:themeFill="accent5" w:themeFillTint="33"/>
      </w:tcPr>
    </w:tblStylePr>
    <w:tblStylePr w:type="band1Horz">
      <w:tblPr/>
      <w:tcPr>
        <w:shd w:val="clear" w:color="auto" w:fill="FFF1CB" w:themeFill="accent5" w:themeFillTint="33"/>
      </w:tcPr>
    </w:tblStylePr>
  </w:style>
  <w:style w:type="table" w:customStyle="1" w:styleId="DECCBox1">
    <w:name w:val="DECC Box 1"/>
    <w:basedOn w:val="TableNormal"/>
    <w:uiPriority w:val="99"/>
    <w:rsid w:val="00034CEC"/>
    <w:pPr>
      <w:spacing w:after="0" w:line="240" w:lineRule="auto"/>
    </w:pPr>
    <w:rPr>
      <w:rFonts w:ascii="Arial" w:hAnsi="Arial"/>
      <w:sz w:val="24"/>
    </w:rPr>
    <w:tblPr>
      <w:tblBorders>
        <w:top w:val="single" w:sz="12" w:space="0" w:color="009FDA" w:themeColor="background2"/>
        <w:left w:val="single" w:sz="12" w:space="0" w:color="009FDA" w:themeColor="background2"/>
        <w:bottom w:val="single" w:sz="12" w:space="0" w:color="009FDA" w:themeColor="background2"/>
        <w:right w:val="single" w:sz="12" w:space="0" w:color="009FDA" w:themeColor="background2"/>
      </w:tblBorders>
    </w:tblPr>
    <w:tcPr>
      <w:shd w:val="clear" w:color="auto" w:fill="auto"/>
      <w:tcMar>
        <w:top w:w="142" w:type="dxa"/>
        <w:left w:w="142" w:type="dxa"/>
        <w:right w:w="142" w:type="dxa"/>
      </w:tcMar>
    </w:tcPr>
  </w:style>
  <w:style w:type="paragraph" w:styleId="BalloonText">
    <w:name w:val="Balloon Text"/>
    <w:basedOn w:val="Normal"/>
    <w:link w:val="BalloonTextChar"/>
    <w:uiPriority w:val="99"/>
    <w:semiHidden/>
    <w:unhideWhenUsed/>
    <w:rsid w:val="000E573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573B"/>
    <w:rPr>
      <w:rFonts w:ascii="Segoe UI" w:hAnsi="Segoe UI" w:cs="Segoe UI"/>
      <w:sz w:val="18"/>
      <w:szCs w:val="18"/>
    </w:rPr>
  </w:style>
  <w:style w:type="character" w:styleId="Hyperlink">
    <w:name w:val="Hyperlink"/>
    <w:uiPriority w:val="99"/>
    <w:rsid w:val="00502FBF"/>
    <w:rPr>
      <w:rFonts w:ascii="Helvetica Neue" w:hAnsi="Helvetica Neue"/>
      <w:color w:val="0000FF"/>
      <w:sz w:val="24"/>
      <w:u w:val="single"/>
    </w:rPr>
  </w:style>
  <w:style w:type="character" w:styleId="PlaceholderText">
    <w:name w:val="Placeholder Text"/>
    <w:basedOn w:val="DefaultParagraphFont"/>
    <w:uiPriority w:val="99"/>
    <w:semiHidden/>
    <w:rsid w:val="00502FBF"/>
    <w:rPr>
      <w:color w:val="808080"/>
    </w:rPr>
  </w:style>
  <w:style w:type="paragraph" w:styleId="TOCHeading">
    <w:name w:val="TOC Heading"/>
    <w:basedOn w:val="Normal"/>
    <w:next w:val="Normal"/>
    <w:uiPriority w:val="39"/>
    <w:unhideWhenUsed/>
    <w:qFormat/>
    <w:rsid w:val="003832F3"/>
    <w:pPr>
      <w:spacing w:after="840"/>
    </w:pPr>
    <w:rPr>
      <w:color w:val="00447C" w:themeColor="text1"/>
      <w:sz w:val="50"/>
      <w:lang w:val="en-US"/>
    </w:rPr>
  </w:style>
  <w:style w:type="paragraph" w:styleId="TOC1">
    <w:name w:val="toc 1"/>
    <w:basedOn w:val="Normal"/>
    <w:next w:val="Normal"/>
    <w:autoRedefine/>
    <w:uiPriority w:val="39"/>
    <w:unhideWhenUsed/>
    <w:rsid w:val="00B86EEE"/>
    <w:pPr>
      <w:tabs>
        <w:tab w:val="left" w:leader="underscore" w:pos="9214"/>
      </w:tabs>
      <w:spacing w:after="100"/>
    </w:pPr>
    <w:rPr>
      <w:noProof/>
      <w:color w:val="00447C" w:themeColor="text1"/>
    </w:rPr>
  </w:style>
  <w:style w:type="paragraph" w:styleId="TOC2">
    <w:name w:val="toc 2"/>
    <w:basedOn w:val="TOC1"/>
    <w:next w:val="Normal"/>
    <w:autoRedefine/>
    <w:uiPriority w:val="39"/>
    <w:unhideWhenUsed/>
    <w:rsid w:val="000B19DF"/>
    <w:pPr>
      <w:ind w:left="284"/>
    </w:pPr>
  </w:style>
  <w:style w:type="paragraph" w:styleId="TOC3">
    <w:name w:val="toc 3"/>
    <w:basedOn w:val="Normal"/>
    <w:next w:val="Normal"/>
    <w:autoRedefine/>
    <w:uiPriority w:val="39"/>
    <w:unhideWhenUsed/>
    <w:rsid w:val="00B4021E"/>
    <w:pPr>
      <w:spacing w:after="100"/>
      <w:ind w:left="480"/>
    </w:pPr>
  </w:style>
  <w:style w:type="paragraph" w:customStyle="1" w:styleId="InnerCoverTitle">
    <w:name w:val="Inner Cover Title"/>
    <w:basedOn w:val="Normal"/>
    <w:qFormat/>
    <w:rsid w:val="00824E8F"/>
    <w:pPr>
      <w:spacing w:after="0"/>
    </w:pPr>
    <w:rPr>
      <w:caps/>
      <w:color w:val="00447C" w:themeColor="text1"/>
      <w:sz w:val="64"/>
    </w:rPr>
  </w:style>
  <w:style w:type="paragraph" w:customStyle="1" w:styleId="InnerCoverSubtitle">
    <w:name w:val="Inner Cover Subtitle"/>
    <w:basedOn w:val="Normal"/>
    <w:qFormat/>
    <w:rsid w:val="00824E8F"/>
    <w:pPr>
      <w:spacing w:before="240" w:after="0" w:line="240" w:lineRule="auto"/>
    </w:pPr>
    <w:rPr>
      <w:color w:val="00447C" w:themeColor="text1"/>
      <w:sz w:val="48"/>
    </w:rPr>
  </w:style>
  <w:style w:type="paragraph" w:customStyle="1" w:styleId="Acknowledgements">
    <w:name w:val="Acknowledgements"/>
    <w:basedOn w:val="Normal"/>
    <w:qFormat/>
    <w:rsid w:val="008F68AF"/>
    <w:pPr>
      <w:spacing w:after="0" w:line="240" w:lineRule="auto"/>
    </w:pPr>
  </w:style>
  <w:style w:type="paragraph" w:customStyle="1" w:styleId="BackSheetFooter">
    <w:name w:val="Back Sheet Footer"/>
    <w:basedOn w:val="Normal"/>
    <w:qFormat/>
    <w:rsid w:val="00BB1A19"/>
    <w:pPr>
      <w:spacing w:after="0" w:line="240" w:lineRule="auto"/>
    </w:pPr>
  </w:style>
  <w:style w:type="character" w:styleId="FollowedHyperlink">
    <w:name w:val="FollowedHyperlink"/>
    <w:basedOn w:val="DefaultParagraphFont"/>
    <w:uiPriority w:val="99"/>
    <w:semiHidden/>
    <w:unhideWhenUsed/>
    <w:rsid w:val="008F6594"/>
    <w:rPr>
      <w:color w:val="954F72" w:themeColor="followedHyperlink"/>
      <w:u w:val="single"/>
    </w:rPr>
  </w:style>
  <w:style w:type="paragraph" w:customStyle="1" w:styleId="Tabletitle-WhiteNormal">
    <w:name w:val="Table title - White Normal"/>
    <w:basedOn w:val="Tabletitle-BlackNormal"/>
    <w:uiPriority w:val="99"/>
    <w:rsid w:val="004256BC"/>
    <w:pPr>
      <w:spacing w:before="60" w:after="60"/>
    </w:pPr>
    <w:rPr>
      <w:color w:val="FFFFFF"/>
    </w:rPr>
  </w:style>
  <w:style w:type="paragraph" w:customStyle="1" w:styleId="Headertext">
    <w:name w:val="Header text"/>
    <w:basedOn w:val="Normal"/>
    <w:autoRedefine/>
    <w:uiPriority w:val="99"/>
    <w:rsid w:val="004256BC"/>
    <w:pPr>
      <w:tabs>
        <w:tab w:val="center" w:pos="4153"/>
        <w:tab w:val="right" w:pos="8306"/>
      </w:tabs>
      <w:spacing w:after="288" w:line="240" w:lineRule="auto"/>
      <w:jc w:val="right"/>
    </w:pPr>
    <w:rPr>
      <w:rFonts w:eastAsia="Times New Roman" w:cs="Times New Roman"/>
      <w:color w:val="003478"/>
      <w:sz w:val="18"/>
      <w:szCs w:val="24"/>
    </w:rPr>
  </w:style>
  <w:style w:type="paragraph" w:customStyle="1" w:styleId="Introparagraph">
    <w:name w:val="Intro paragraph"/>
    <w:basedOn w:val="Normal"/>
    <w:autoRedefine/>
    <w:uiPriority w:val="99"/>
    <w:rsid w:val="004256BC"/>
    <w:pPr>
      <w:keepNext/>
      <w:spacing w:before="120" w:after="360" w:line="240" w:lineRule="auto"/>
      <w:outlineLvl w:val="0"/>
    </w:pPr>
    <w:rPr>
      <w:rFonts w:eastAsia="Times New Roman" w:cs="Times New Roman"/>
      <w:b/>
      <w:bCs/>
      <w:noProof/>
      <w:kern w:val="32"/>
      <w:sz w:val="26"/>
      <w:szCs w:val="56"/>
    </w:rPr>
  </w:style>
  <w:style w:type="paragraph" w:customStyle="1" w:styleId="TintBox">
    <w:name w:val="Tint Box"/>
    <w:basedOn w:val="Normal"/>
    <w:next w:val="Normal"/>
    <w:uiPriority w:val="99"/>
    <w:rsid w:val="004256BC"/>
    <w:pPr>
      <w:pBdr>
        <w:top w:val="single" w:sz="2" w:space="6" w:color="FFFFFF"/>
        <w:left w:val="single" w:sz="2" w:space="8" w:color="FFFFFF"/>
        <w:bottom w:val="single" w:sz="2" w:space="8" w:color="FFFFFF"/>
        <w:right w:val="single" w:sz="2" w:space="8" w:color="FFFFFF"/>
      </w:pBdr>
      <w:shd w:val="clear" w:color="auto" w:fill="C4EEFF" w:themeFill="accent1" w:themeFillTint="33"/>
      <w:spacing w:after="288" w:line="280" w:lineRule="exact"/>
      <w:ind w:left="567" w:right="567"/>
    </w:pPr>
    <w:rPr>
      <w:rFonts w:eastAsia="Times New Roman" w:cs="Times New Roman"/>
      <w:szCs w:val="24"/>
    </w:rPr>
  </w:style>
  <w:style w:type="paragraph" w:customStyle="1" w:styleId="Numberedparagraph">
    <w:name w:val="Numbered paragraph"/>
    <w:basedOn w:val="Normal"/>
    <w:autoRedefine/>
    <w:uiPriority w:val="99"/>
    <w:rsid w:val="004256BC"/>
    <w:pPr>
      <w:numPr>
        <w:numId w:val="7"/>
      </w:numPr>
      <w:tabs>
        <w:tab w:val="left" w:pos="567"/>
      </w:tabs>
      <w:spacing w:after="288" w:line="240" w:lineRule="auto"/>
      <w:ind w:left="567" w:right="11" w:hanging="425"/>
    </w:pPr>
    <w:rPr>
      <w:rFonts w:eastAsia="Times New Roman" w:cs="Times New Roman"/>
      <w:szCs w:val="24"/>
    </w:rPr>
  </w:style>
  <w:style w:type="character" w:customStyle="1" w:styleId="Page1White">
    <w:name w:val="Page 1 White"/>
    <w:basedOn w:val="DefaultParagraphFont"/>
    <w:uiPriority w:val="99"/>
    <w:locked/>
    <w:rsid w:val="004256BC"/>
    <w:rPr>
      <w:rFonts w:ascii="Arial" w:hAnsi="Arial" w:cs="Times New Roman"/>
      <w:color w:val="FFFFFF"/>
      <w:sz w:val="24"/>
    </w:rPr>
  </w:style>
  <w:style w:type="paragraph" w:customStyle="1" w:styleId="Textbox">
    <w:name w:val="Text box"/>
    <w:basedOn w:val="Normal"/>
    <w:uiPriority w:val="99"/>
    <w:rsid w:val="004256BC"/>
    <w:pPr>
      <w:pBdr>
        <w:top w:val="single" w:sz="4" w:space="1" w:color="auto"/>
        <w:left w:val="single" w:sz="4" w:space="4" w:color="auto"/>
        <w:bottom w:val="single" w:sz="4" w:space="1" w:color="auto"/>
        <w:right w:val="single" w:sz="4" w:space="4" w:color="auto"/>
      </w:pBdr>
      <w:spacing w:after="288" w:line="288" w:lineRule="exact"/>
      <w:ind w:left="567" w:right="567"/>
    </w:pPr>
    <w:rPr>
      <w:rFonts w:eastAsia="Times New Roman" w:cs="Times New Roman"/>
      <w:szCs w:val="24"/>
    </w:rPr>
  </w:style>
  <w:style w:type="paragraph" w:customStyle="1" w:styleId="Tabletext-Bold">
    <w:name w:val="Table text - Bold"/>
    <w:basedOn w:val="Normal"/>
    <w:uiPriority w:val="99"/>
    <w:rsid w:val="004256BC"/>
    <w:pPr>
      <w:spacing w:after="80" w:line="240" w:lineRule="auto"/>
      <w:ind w:left="113" w:right="113"/>
    </w:pPr>
    <w:rPr>
      <w:rFonts w:eastAsia="Times New Roman" w:cs="Times New Roman"/>
      <w:b/>
      <w:sz w:val="22"/>
      <w:szCs w:val="24"/>
    </w:rPr>
  </w:style>
  <w:style w:type="paragraph" w:customStyle="1" w:styleId="Tabletitle-BlackNormal">
    <w:name w:val="Table title - Black Normal"/>
    <w:basedOn w:val="Tabletext-Bold"/>
    <w:uiPriority w:val="99"/>
    <w:rsid w:val="004256BC"/>
    <w:pPr>
      <w:spacing w:after="0"/>
    </w:pPr>
  </w:style>
  <w:style w:type="paragraph" w:styleId="ListBullet">
    <w:name w:val="List Bullet"/>
    <w:aliases w:val="Bullets"/>
    <w:basedOn w:val="Normal"/>
    <w:uiPriority w:val="99"/>
    <w:qFormat/>
    <w:rsid w:val="004256BC"/>
    <w:pPr>
      <w:numPr>
        <w:numId w:val="6"/>
      </w:numPr>
      <w:tabs>
        <w:tab w:val="clear" w:pos="284"/>
        <w:tab w:val="num" w:pos="0"/>
      </w:tabs>
      <w:spacing w:after="288" w:line="288" w:lineRule="exact"/>
      <w:ind w:left="709" w:hanging="567"/>
    </w:pPr>
    <w:rPr>
      <w:rFonts w:eastAsia="Times New Roman" w:cs="Times New Roman"/>
      <w:szCs w:val="24"/>
    </w:rPr>
  </w:style>
  <w:style w:type="paragraph" w:customStyle="1" w:styleId="EndpageText">
    <w:name w:val="End page Text"/>
    <w:basedOn w:val="Normal"/>
    <w:uiPriority w:val="99"/>
    <w:rsid w:val="004256BC"/>
    <w:pPr>
      <w:spacing w:after="200" w:line="240" w:lineRule="auto"/>
    </w:pPr>
    <w:rPr>
      <w:rFonts w:eastAsia="Times New Roman" w:cs="Times New Roman"/>
      <w:sz w:val="20"/>
      <w:szCs w:val="24"/>
    </w:rPr>
  </w:style>
  <w:style w:type="paragraph" w:customStyle="1" w:styleId="Tabletext-Normal">
    <w:name w:val="Table text - Normal"/>
    <w:basedOn w:val="Tabletext-Bold"/>
    <w:uiPriority w:val="99"/>
    <w:rsid w:val="004256BC"/>
    <w:rPr>
      <w:b w:val="0"/>
    </w:rPr>
  </w:style>
  <w:style w:type="character" w:styleId="Strong">
    <w:name w:val="Strong"/>
    <w:aliases w:val="Bold"/>
    <w:basedOn w:val="DefaultParagraphFont"/>
    <w:uiPriority w:val="22"/>
    <w:qFormat/>
    <w:rsid w:val="004256BC"/>
    <w:rPr>
      <w:b/>
      <w:bCs/>
    </w:rPr>
  </w:style>
  <w:style w:type="paragraph" w:customStyle="1" w:styleId="URN">
    <w:name w:val="URN"/>
    <w:basedOn w:val="EndpageText"/>
    <w:rsid w:val="004256BC"/>
    <w:rPr>
      <w:b/>
      <w:szCs w:val="20"/>
    </w:rPr>
  </w:style>
  <w:style w:type="paragraph" w:customStyle="1" w:styleId="Contents">
    <w:name w:val="Contents"/>
    <w:basedOn w:val="Heading1"/>
    <w:rsid w:val="004256BC"/>
    <w:pPr>
      <w:keepNext w:val="0"/>
      <w:keepLines w:val="0"/>
      <w:pageBreakBefore w:val="0"/>
      <w:spacing w:after="324" w:line="240" w:lineRule="auto"/>
    </w:pPr>
    <w:rPr>
      <w:rFonts w:eastAsia="Times New Roman" w:cs="Times New Roman"/>
      <w:b/>
      <w:bCs/>
      <w:color w:val="003478"/>
      <w:kern w:val="32"/>
      <w:sz w:val="56"/>
    </w:rPr>
  </w:style>
  <w:style w:type="paragraph" w:customStyle="1" w:styleId="Notes">
    <w:name w:val="Notes"/>
    <w:basedOn w:val="Normal"/>
    <w:rsid w:val="004256BC"/>
    <w:pPr>
      <w:spacing w:after="288" w:line="240" w:lineRule="auto"/>
    </w:pPr>
    <w:rPr>
      <w:rFonts w:eastAsia="Times New Roman" w:cs="Times New Roman"/>
      <w:sz w:val="20"/>
      <w:szCs w:val="24"/>
    </w:rPr>
  </w:style>
  <w:style w:type="paragraph" w:customStyle="1" w:styleId="Tabletitle-WhiteSmall">
    <w:name w:val="Table title - White Small"/>
    <w:basedOn w:val="Tabletitle-WhiteNormal"/>
    <w:rsid w:val="004256BC"/>
    <w:rPr>
      <w:sz w:val="20"/>
    </w:rPr>
  </w:style>
  <w:style w:type="paragraph" w:customStyle="1" w:styleId="Tabletext-Small">
    <w:name w:val="Table text - Small"/>
    <w:basedOn w:val="Tabletext-Normal"/>
    <w:rsid w:val="004256BC"/>
    <w:rPr>
      <w:sz w:val="20"/>
    </w:rPr>
  </w:style>
  <w:style w:type="character" w:customStyle="1" w:styleId="Superscript">
    <w:name w:val="Superscript"/>
    <w:basedOn w:val="DefaultParagraphFont"/>
    <w:uiPriority w:val="1"/>
    <w:rsid w:val="004256BC"/>
    <w:rPr>
      <w:vertAlign w:val="superscript"/>
    </w:rPr>
  </w:style>
  <w:style w:type="table" w:customStyle="1" w:styleId="Table-bluegrid">
    <w:name w:val="Table - blue grid"/>
    <w:basedOn w:val="TableNormal"/>
    <w:uiPriority w:val="99"/>
    <w:rsid w:val="004256BC"/>
    <w:pPr>
      <w:spacing w:after="0" w:line="240" w:lineRule="auto"/>
    </w:pPr>
    <w:rPr>
      <w:rFonts w:ascii="Arial" w:eastAsia="Times New Roman" w:hAnsi="Arial" w:cs="Times New Roman"/>
      <w:lang w:eastAsia="en-GB"/>
    </w:rPr>
    <w:tblPr>
      <w:tblBorders>
        <w:top w:val="single" w:sz="4" w:space="0" w:color="21488A"/>
        <w:left w:val="single" w:sz="4" w:space="0" w:color="21488A"/>
        <w:bottom w:val="single" w:sz="4" w:space="0" w:color="21488A"/>
        <w:right w:val="single" w:sz="4" w:space="0" w:color="21488A"/>
        <w:insideH w:val="single" w:sz="4" w:space="0" w:color="21488A"/>
        <w:insideV w:val="single" w:sz="4" w:space="0" w:color="21488A"/>
      </w:tblBorders>
      <w:tblCellMar>
        <w:top w:w="85" w:type="dxa"/>
        <w:bottom w:w="85" w:type="dxa"/>
      </w:tblCellMar>
    </w:tblPr>
    <w:tcPr>
      <w:shd w:val="clear" w:color="auto" w:fill="auto"/>
    </w:tcPr>
    <w:tblStylePr w:type="firstRow">
      <w:tblPr/>
      <w:trPr>
        <w:tblHeader/>
      </w:trPr>
      <w:tcPr>
        <w:tcBorders>
          <w:top w:val="single" w:sz="4" w:space="0" w:color="21488A"/>
          <w:left w:val="single" w:sz="4" w:space="0" w:color="21488A"/>
          <w:bottom w:val="single" w:sz="4" w:space="0" w:color="21488A"/>
          <w:right w:val="single" w:sz="4" w:space="0" w:color="21488A"/>
          <w:insideH w:val="single" w:sz="4" w:space="0" w:color="21488A"/>
          <w:insideV w:val="single" w:sz="4" w:space="0" w:color="21488A"/>
          <w:tl2br w:val="nil"/>
          <w:tr2bl w:val="nil"/>
        </w:tcBorders>
        <w:shd w:val="clear" w:color="auto" w:fill="21488A"/>
      </w:tcPr>
    </w:tblStylePr>
  </w:style>
  <w:style w:type="table" w:customStyle="1" w:styleId="Table-lightbluegrid">
    <w:name w:val="Table - light blue grid"/>
    <w:basedOn w:val="Table-bluegrid"/>
    <w:uiPriority w:val="99"/>
    <w:rsid w:val="004256BC"/>
    <w:tblPr>
      <w:tblBorders>
        <w:top w:val="single" w:sz="4" w:space="0" w:color="009BBB"/>
        <w:left w:val="single" w:sz="4" w:space="0" w:color="009BBB"/>
        <w:bottom w:val="single" w:sz="4" w:space="0" w:color="009BBB"/>
        <w:right w:val="single" w:sz="4" w:space="0" w:color="009BBB"/>
        <w:insideH w:val="single" w:sz="4" w:space="0" w:color="009BBB"/>
        <w:insideV w:val="single" w:sz="4" w:space="0" w:color="009BBB"/>
      </w:tblBorders>
    </w:tblPr>
    <w:tcPr>
      <w:shd w:val="clear" w:color="auto" w:fill="auto"/>
    </w:tcPr>
    <w:tblStylePr w:type="firstRow">
      <w:tblPr/>
      <w:trPr>
        <w:tblHeader/>
      </w:trPr>
      <w:tcPr>
        <w:tcBorders>
          <w:top w:val="single" w:sz="4" w:space="0" w:color="009BBB"/>
          <w:left w:val="single" w:sz="4" w:space="0" w:color="009BBB"/>
          <w:bottom w:val="single" w:sz="4" w:space="0" w:color="009BBB"/>
          <w:right w:val="single" w:sz="4" w:space="0" w:color="009BBB"/>
          <w:insideH w:val="single" w:sz="4" w:space="0" w:color="009BBB"/>
          <w:insideV w:val="single" w:sz="4" w:space="0" w:color="009BBB"/>
          <w:tl2br w:val="nil"/>
          <w:tr2bl w:val="nil"/>
        </w:tcBorders>
        <w:shd w:val="clear" w:color="auto" w:fill="009BBB"/>
      </w:tcPr>
    </w:tblStylePr>
  </w:style>
  <w:style w:type="paragraph" w:styleId="EndnoteText">
    <w:name w:val="endnote text"/>
    <w:basedOn w:val="Normal"/>
    <w:link w:val="EndnoteTextChar"/>
    <w:uiPriority w:val="99"/>
    <w:unhideWhenUsed/>
    <w:rsid w:val="00EE5656"/>
    <w:pPr>
      <w:spacing w:after="0" w:line="240" w:lineRule="auto"/>
    </w:pPr>
    <w:rPr>
      <w:rFonts w:asciiTheme="minorHAnsi" w:hAnsiTheme="minorHAnsi"/>
      <w:sz w:val="20"/>
      <w:szCs w:val="20"/>
    </w:rPr>
  </w:style>
  <w:style w:type="character" w:customStyle="1" w:styleId="EndnoteTextChar">
    <w:name w:val="Endnote Text Char"/>
    <w:basedOn w:val="DefaultParagraphFont"/>
    <w:link w:val="EndnoteText"/>
    <w:uiPriority w:val="99"/>
    <w:rsid w:val="00EE5656"/>
    <w:rPr>
      <w:sz w:val="20"/>
      <w:szCs w:val="20"/>
    </w:rPr>
  </w:style>
  <w:style w:type="character" w:styleId="EndnoteReference">
    <w:name w:val="endnote reference"/>
    <w:basedOn w:val="DefaultParagraphFont"/>
    <w:uiPriority w:val="99"/>
    <w:semiHidden/>
    <w:unhideWhenUsed/>
    <w:rsid w:val="00EE5656"/>
    <w:rPr>
      <w:vertAlign w:val="superscript"/>
    </w:rPr>
  </w:style>
  <w:style w:type="character" w:styleId="UnresolvedMention">
    <w:name w:val="Unresolved Mention"/>
    <w:basedOn w:val="DefaultParagraphFont"/>
    <w:uiPriority w:val="99"/>
    <w:unhideWhenUsed/>
    <w:rsid w:val="002022C7"/>
    <w:rPr>
      <w:color w:val="605E5C"/>
      <w:shd w:val="clear" w:color="auto" w:fill="E1DFDD"/>
    </w:rPr>
  </w:style>
  <w:style w:type="paragraph" w:styleId="TableofFigures">
    <w:name w:val="table of figures"/>
    <w:basedOn w:val="Normal"/>
    <w:next w:val="Normal"/>
    <w:uiPriority w:val="99"/>
    <w:unhideWhenUsed/>
    <w:rsid w:val="00B66524"/>
    <w:pPr>
      <w:spacing w:after="0"/>
    </w:pPr>
  </w:style>
  <w:style w:type="character" w:styleId="CommentReference">
    <w:name w:val="annotation reference"/>
    <w:basedOn w:val="DefaultParagraphFont"/>
    <w:uiPriority w:val="99"/>
    <w:semiHidden/>
    <w:unhideWhenUsed/>
    <w:rsid w:val="00AF2EA4"/>
    <w:rPr>
      <w:sz w:val="16"/>
      <w:szCs w:val="16"/>
    </w:rPr>
  </w:style>
  <w:style w:type="paragraph" w:styleId="CommentText">
    <w:name w:val="annotation text"/>
    <w:basedOn w:val="Normal"/>
    <w:link w:val="CommentTextChar"/>
    <w:uiPriority w:val="99"/>
    <w:semiHidden/>
    <w:unhideWhenUsed/>
    <w:rsid w:val="00AF2EA4"/>
    <w:pPr>
      <w:spacing w:line="240" w:lineRule="auto"/>
    </w:pPr>
    <w:rPr>
      <w:sz w:val="20"/>
      <w:szCs w:val="20"/>
    </w:rPr>
  </w:style>
  <w:style w:type="character" w:customStyle="1" w:styleId="CommentTextChar">
    <w:name w:val="Comment Text Char"/>
    <w:basedOn w:val="DefaultParagraphFont"/>
    <w:link w:val="CommentText"/>
    <w:uiPriority w:val="99"/>
    <w:semiHidden/>
    <w:rsid w:val="00AF2EA4"/>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AF2EA4"/>
    <w:rPr>
      <w:b/>
      <w:bCs/>
    </w:rPr>
  </w:style>
  <w:style w:type="character" w:customStyle="1" w:styleId="CommentSubjectChar">
    <w:name w:val="Comment Subject Char"/>
    <w:basedOn w:val="CommentTextChar"/>
    <w:link w:val="CommentSubject"/>
    <w:uiPriority w:val="99"/>
    <w:semiHidden/>
    <w:rsid w:val="00AF2EA4"/>
    <w:rPr>
      <w:rFonts w:ascii="Arial" w:hAnsi="Arial"/>
      <w:b/>
      <w:bCs/>
      <w:sz w:val="20"/>
      <w:szCs w:val="20"/>
    </w:rPr>
  </w:style>
  <w:style w:type="paragraph" w:styleId="Revision">
    <w:name w:val="Revision"/>
    <w:hidden/>
    <w:uiPriority w:val="99"/>
    <w:semiHidden/>
    <w:rsid w:val="001B6E02"/>
    <w:pPr>
      <w:spacing w:after="0" w:line="240" w:lineRule="auto"/>
    </w:pPr>
    <w:rPr>
      <w:rFonts w:ascii="Arial" w:hAnsi="Arial"/>
      <w:sz w:val="24"/>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80002">
      <w:bodyDiv w:val="1"/>
      <w:marLeft w:val="0"/>
      <w:marRight w:val="0"/>
      <w:marTop w:val="0"/>
      <w:marBottom w:val="0"/>
      <w:divBdr>
        <w:top w:val="none" w:sz="0" w:space="0" w:color="auto"/>
        <w:left w:val="none" w:sz="0" w:space="0" w:color="auto"/>
        <w:bottom w:val="none" w:sz="0" w:space="0" w:color="auto"/>
        <w:right w:val="none" w:sz="0" w:space="0" w:color="auto"/>
      </w:divBdr>
    </w:div>
    <w:div w:id="26179434">
      <w:bodyDiv w:val="1"/>
      <w:marLeft w:val="0"/>
      <w:marRight w:val="0"/>
      <w:marTop w:val="0"/>
      <w:marBottom w:val="0"/>
      <w:divBdr>
        <w:top w:val="none" w:sz="0" w:space="0" w:color="auto"/>
        <w:left w:val="none" w:sz="0" w:space="0" w:color="auto"/>
        <w:bottom w:val="none" w:sz="0" w:space="0" w:color="auto"/>
        <w:right w:val="none" w:sz="0" w:space="0" w:color="auto"/>
      </w:divBdr>
    </w:div>
    <w:div w:id="221644917">
      <w:bodyDiv w:val="1"/>
      <w:marLeft w:val="0"/>
      <w:marRight w:val="0"/>
      <w:marTop w:val="0"/>
      <w:marBottom w:val="0"/>
      <w:divBdr>
        <w:top w:val="none" w:sz="0" w:space="0" w:color="auto"/>
        <w:left w:val="none" w:sz="0" w:space="0" w:color="auto"/>
        <w:bottom w:val="none" w:sz="0" w:space="0" w:color="auto"/>
        <w:right w:val="none" w:sz="0" w:space="0" w:color="auto"/>
      </w:divBdr>
    </w:div>
    <w:div w:id="231737422">
      <w:bodyDiv w:val="1"/>
      <w:marLeft w:val="0"/>
      <w:marRight w:val="0"/>
      <w:marTop w:val="0"/>
      <w:marBottom w:val="0"/>
      <w:divBdr>
        <w:top w:val="none" w:sz="0" w:space="0" w:color="auto"/>
        <w:left w:val="none" w:sz="0" w:space="0" w:color="auto"/>
        <w:bottom w:val="none" w:sz="0" w:space="0" w:color="auto"/>
        <w:right w:val="none" w:sz="0" w:space="0" w:color="auto"/>
      </w:divBdr>
    </w:div>
    <w:div w:id="726296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image" Target="media/image4.png"/><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5" Type="http://schemas.microsoft.com/office/2018/08/relationships/commentsExtensible" Target="commentsExtensible.xm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3.png"/><Relationship Id="rId29" Type="http://schemas.openxmlformats.org/officeDocument/2006/relationships/hyperlink" Target="https://www.gov.uk/beis"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2.xml"/><Relationship Id="rId23" Type="http://schemas.microsoft.com/office/2011/relationships/commentsExtended" Target="commentsExtended.xml"/><Relationship Id="rId28" Type="http://schemas.openxmlformats.org/officeDocument/2006/relationships/hyperlink" Target="mailto:psi@nationalarchives.gsi.gov.uk" TargetMode="External"/><Relationship Id="rId10" Type="http://schemas.openxmlformats.org/officeDocument/2006/relationships/footnotes" Target="footnotes.xml"/><Relationship Id="rId19" Type="http://schemas.openxmlformats.org/officeDocument/2006/relationships/footer" Target="footer3.xml"/><Relationship Id="rId31"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comments" Target="comments.xml"/><Relationship Id="rId27" Type="http://schemas.openxmlformats.org/officeDocument/2006/relationships/hyperlink" Target="http://www.nationalarchives.gov.uk/doc/open-government-licence/version/3" TargetMode="External"/><Relationship Id="rId30" Type="http://schemas.openxmlformats.org/officeDocument/2006/relationships/header" Target="header4.xml"/></Relationships>
</file>

<file path=word/_rels/endnotes.xml.rels><?xml version="1.0" encoding="UTF-8" standalone="yes"?>
<Relationships xmlns="http://schemas.openxmlformats.org/package/2006/relationships"><Relationship Id="rId1" Type="http://schemas.openxmlformats.org/officeDocument/2006/relationships/hyperlink" Target="https://www.gov.uk/government/publications/specification-for-the-zp1221-01-geiger-muller-tube--2" TargetMode="External"/></Relationships>
</file>

<file path=word/theme/theme1.xml><?xml version="1.0" encoding="utf-8"?>
<a:theme xmlns:a="http://schemas.openxmlformats.org/drawingml/2006/main" name="Office Theme">
  <a:themeElements>
    <a:clrScheme name="BEIS Colours">
      <a:dk1>
        <a:srgbClr val="00447C"/>
      </a:dk1>
      <a:lt1>
        <a:sysClr val="window" lastClr="FFFFFF"/>
      </a:lt1>
      <a:dk2>
        <a:srgbClr val="000000"/>
      </a:dk2>
      <a:lt2>
        <a:srgbClr val="009FDA"/>
      </a:lt2>
      <a:accent1>
        <a:srgbClr val="009FDA"/>
      </a:accent1>
      <a:accent2>
        <a:srgbClr val="E26EB2"/>
      </a:accent2>
      <a:accent3>
        <a:srgbClr val="69BE28"/>
      </a:accent3>
      <a:accent4>
        <a:srgbClr val="B382C7"/>
      </a:accent4>
      <a:accent5>
        <a:srgbClr val="FBB900"/>
      </a:accent5>
      <a:accent6>
        <a:srgbClr val="A8B8BE"/>
      </a:accent6>
      <a:hlink>
        <a:srgbClr val="0070C0"/>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Government_x0020_Body xmlns="b413c3fd-5a3b-4239-b985-69032e371c04">BEIS</Government_x0020_Body>
    <Date_x0020_Opened xmlns="b413c3fd-5a3b-4239-b985-69032e371c04">2020-12-08T10:58:07+00:00</Date_x0020_Opened>
    <LegacyData xmlns="aaacb922-5235-4a66-b188-303b9b46fbd7" xsi:nil="true"/>
    <Descriptor xmlns="0063f72e-ace3-48fb-9c1f-5b513408b31f" xsi:nil="true"/>
    <Security_x0020_Classification xmlns="0063f72e-ace3-48fb-9c1f-5b513408b31f">OFFICIAL</Security_x0020_Classification>
    <Retention_x0020_Label xmlns="a8f60570-4bd3-4f2b-950b-a996de8ab151" xsi:nil="true"/>
    <Date_x0020_Closed xmlns="b413c3fd-5a3b-4239-b985-69032e371c04" xsi:nil="true"/>
    <TaxCatchAll xmlns="2289aba0-e0ce-4c45-9e32-eab2d8212a20">
      <Value>2</Value>
    </TaxCatchAll>
    <m975189f4ba442ecbf67d4147307b177 xmlns="2289aba0-e0ce-4c45-9e32-eab2d8212a20">
      <Terms xmlns="http://schemas.microsoft.com/office/infopath/2007/PartnerControls">
        <TermInfo xmlns="http://schemas.microsoft.com/office/infopath/2007/PartnerControls">
          <TermName xmlns="http://schemas.microsoft.com/office/infopath/2007/PartnerControls">Nuclear Resilience and Non Proliferation</TermName>
          <TermId xmlns="http://schemas.microsoft.com/office/infopath/2007/PartnerControls">f3db8468-05ab-4772-b298-b4c9aa2e6775</TermId>
        </TermInfo>
      </Terms>
    </m975189f4ba442ecbf67d4147307b177>
    <_dlc_DocId xmlns="2289aba0-e0ce-4c45-9e32-eab2d8212a20">WWVFZ3DUP6VR-488400291-34998</_dlc_DocId>
    <_dlc_DocIdUrl xmlns="2289aba0-e0ce-4c45-9e32-eab2d8212a20">
      <Url>https://beisgov.sharepoint.com/sites/ESC/_layouts/15/DocIdRedir.aspx?ID=WWVFZ3DUP6VR-488400291-34998</Url>
      <Description>WWVFZ3DUP6VR-488400291-34998</Description>
    </_dlc_DocIdUrl>
    <_Flow_SignoffStatus xmlns="53a3b5c5-fefe-4f93-9d19-697d8b02f2a2" xsi:nil="true"/>
    <lcf76f155ced4ddcb4097134ff3c332f xmlns="53a3b5c5-fefe-4f93-9d19-697d8b02f2a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941CA545DA96F4297EBF9FD1D1C86A3" ma:contentTypeVersion="25" ma:contentTypeDescription="Create a new document." ma:contentTypeScope="" ma:versionID="b4b47cc2e3655f7481f40d11c3c94097">
  <xsd:schema xmlns:xsd="http://www.w3.org/2001/XMLSchema" xmlns:xs="http://www.w3.org/2001/XMLSchema" xmlns:p="http://schemas.microsoft.com/office/2006/metadata/properties" xmlns:ns2="2289aba0-e0ce-4c45-9e32-eab2d8212a20" xmlns:ns3="0063f72e-ace3-48fb-9c1f-5b513408b31f" xmlns:ns4="b413c3fd-5a3b-4239-b985-69032e371c04" xmlns:ns5="a8f60570-4bd3-4f2b-950b-a996de8ab151" xmlns:ns6="aaacb922-5235-4a66-b188-303b9b46fbd7" xmlns:ns7="53a3b5c5-fefe-4f93-9d19-697d8b02f2a2" targetNamespace="http://schemas.microsoft.com/office/2006/metadata/properties" ma:root="true" ma:fieldsID="9653ea83b1a1c80702b688e60eb5d5b0" ns2:_="" ns3:_="" ns4:_="" ns5:_="" ns6:_="" ns7:_="">
    <xsd:import namespace="2289aba0-e0ce-4c45-9e32-eab2d8212a20"/>
    <xsd:import namespace="0063f72e-ace3-48fb-9c1f-5b513408b31f"/>
    <xsd:import namespace="b413c3fd-5a3b-4239-b985-69032e371c04"/>
    <xsd:import namespace="a8f60570-4bd3-4f2b-950b-a996de8ab151"/>
    <xsd:import namespace="aaacb922-5235-4a66-b188-303b9b46fbd7"/>
    <xsd:import namespace="53a3b5c5-fefe-4f93-9d19-697d8b02f2a2"/>
    <xsd:element name="properties">
      <xsd:complexType>
        <xsd:sequence>
          <xsd:element name="documentManagement">
            <xsd:complexType>
              <xsd:all>
                <xsd:element ref="ns2:_dlc_DocId" minOccurs="0"/>
                <xsd:element ref="ns2:_dlc_DocIdUrl" minOccurs="0"/>
                <xsd:element ref="ns2:_dlc_DocIdPersistId" minOccurs="0"/>
                <xsd:element ref="ns3:Security_x0020_Classification" minOccurs="0"/>
                <xsd:element ref="ns3:Descriptor" minOccurs="0"/>
                <xsd:element ref="ns2:m975189f4ba442ecbf67d4147307b177" minOccurs="0"/>
                <xsd:element ref="ns2:TaxCatchAll" minOccurs="0"/>
                <xsd:element ref="ns2:TaxCatchAllLabel" minOccurs="0"/>
                <xsd:element ref="ns4:Government_x0020_Body" minOccurs="0"/>
                <xsd:element ref="ns4:Date_x0020_Opened" minOccurs="0"/>
                <xsd:element ref="ns4:Date_x0020_Closed" minOccurs="0"/>
                <xsd:element ref="ns5:Retention_x0020_Label" minOccurs="0"/>
                <xsd:element ref="ns6:LegacyData" minOccurs="0"/>
                <xsd:element ref="ns7:MediaServiceMetadata" minOccurs="0"/>
                <xsd:element ref="ns7:MediaServiceFastMetadata" minOccurs="0"/>
                <xsd:element ref="ns2:SharedWithUsers" minOccurs="0"/>
                <xsd:element ref="ns2:SharedWithDetails" minOccurs="0"/>
                <xsd:element ref="ns7:MediaServiceAutoTags" minOccurs="0"/>
                <xsd:element ref="ns7:MediaServiceOCR" minOccurs="0"/>
                <xsd:element ref="ns7:MediaServiceGenerationTime" minOccurs="0"/>
                <xsd:element ref="ns7:MediaServiceEventHashCode" minOccurs="0"/>
                <xsd:element ref="ns7:MediaServiceAutoKeyPoints" minOccurs="0"/>
                <xsd:element ref="ns7:MediaServiceKeyPoints" minOccurs="0"/>
                <xsd:element ref="ns7:MediaServiceDateTaken" minOccurs="0"/>
                <xsd:element ref="ns7:MediaLengthInSeconds" minOccurs="0"/>
                <xsd:element ref="ns7:lcf76f155ced4ddcb4097134ff3c332f" minOccurs="0"/>
                <xsd:element ref="ns7:MediaServiceLocation" minOccurs="0"/>
                <xsd:element ref="ns7: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89aba0-e0ce-4c45-9e32-eab2d8212a20"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m975189f4ba442ecbf67d4147307b177" ma:index="13" nillable="true" ma:taxonomy="true" ma:internalName="m975189f4ba442ecbf67d4147307b177" ma:taxonomyFieldName="Business_x0020_Unit" ma:displayName="Business Unit" ma:default="1;#BEIS:Corporate Services:Commercial and Operations Directorate|b75c6dd9-ca6e-4b01-bb8f-6b86ad456017"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a4af8034-2177-4588-9274-7d087c75bf67}" ma:internalName="TaxCatchAll" ma:showField="CatchAllData" ma:web="2289aba0-e0ce-4c45-9e32-eab2d8212a20">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a4af8034-2177-4588-9274-7d087c75bf67}" ma:internalName="TaxCatchAllLabel" ma:readOnly="true" ma:showField="CatchAllDataLabel" ma:web="2289aba0-e0ce-4c45-9e32-eab2d8212a20">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11"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12" nillable="true" ma:displayName="Descriptor" ma:default="" ma:format="Dropdown" ma:indexed="true" ma:internalName="Descriptor">
      <xsd:simpleType>
        <xsd:restriction base="dms:Choice">
          <xsd:enumeration value="COMMERCIAL"/>
          <xsd:enumeration value="PERSONAL"/>
          <xsd:enumeration value="LOCSEN"/>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Government_x0020_Body" ma:index="17" nillable="true" ma:displayName="Government Body" ma:default="BEIS" ma:internalName="Government_x0020_Body">
      <xsd:simpleType>
        <xsd:restriction base="dms:Text">
          <xsd:maxLength value="255"/>
        </xsd:restriction>
      </xsd:simpleType>
    </xsd:element>
    <xsd:element name="Date_x0020_Opened" ma:index="18" nillable="true" ma:displayName="Date Opened" ma:default="[Today]" ma:format="DateOnly" ma:internalName="Date_x0020_Opened">
      <xsd:simpleType>
        <xsd:restriction base="dms:DateTime"/>
      </xsd:simpleType>
    </xsd:element>
    <xsd:element name="Date_x0020_Closed" ma:index="19" nillable="true" ma:displayName="Date Closed" ma:format="DateOnly" ma:internalName="Date_x0020_Clo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20"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21"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3a3b5c5-fefe-4f93-9d19-697d8b02f2a2" elementFormDefault="qualified">
    <xsd:import namespace="http://schemas.microsoft.com/office/2006/documentManagement/types"/>
    <xsd:import namespace="http://schemas.microsoft.com/office/infopath/2007/PartnerControls"/>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ServiceAutoTags" ma:index="26" nillable="true" ma:displayName="Tags" ma:internalName="MediaServiceAutoTags"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LengthInSeconds" ma:index="33" nillable="true" ma:displayName="Length (seconds)" ma:internalName="MediaLengthInSeconds" ma:readOnly="true">
      <xsd:simpleType>
        <xsd:restriction base="dms:Unknown"/>
      </xsd:simpleType>
    </xsd:element>
    <xsd:element name="lcf76f155ced4ddcb4097134ff3c332f" ma:index="35"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Location" ma:index="36" nillable="true" ma:displayName="Location" ma:internalName="MediaServiceLocation" ma:readOnly="true">
      <xsd:simpleType>
        <xsd:restriction base="dms:Text"/>
      </xsd:simpleType>
    </xsd:element>
    <xsd:element name="_Flow_SignoffStatus" ma:index="37" nillable="true" ma:displayName="Sign-off status" ma:internalName="Sign_x002d_off_x0020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8F8802-A5EE-449A-A70A-D83C5E59BDB2}">
  <ds:schemaRefs>
    <ds:schemaRef ds:uri="http://schemas.microsoft.com/sharepoint/v3/contenttype/forms"/>
  </ds:schemaRefs>
</ds:datastoreItem>
</file>

<file path=customXml/itemProps2.xml><?xml version="1.0" encoding="utf-8"?>
<ds:datastoreItem xmlns:ds="http://schemas.openxmlformats.org/officeDocument/2006/customXml" ds:itemID="{D373EC0D-E206-4972-B8F3-E93E36F8A7D6}">
  <ds:schemaRefs>
    <ds:schemaRef ds:uri="http://schemas.microsoft.com/office/2006/metadata/properties"/>
    <ds:schemaRef ds:uri="http://schemas.microsoft.com/office/infopath/2007/PartnerControls"/>
    <ds:schemaRef ds:uri="b413c3fd-5a3b-4239-b985-69032e371c04"/>
    <ds:schemaRef ds:uri="aaacb922-5235-4a66-b188-303b9b46fbd7"/>
    <ds:schemaRef ds:uri="0063f72e-ace3-48fb-9c1f-5b513408b31f"/>
    <ds:schemaRef ds:uri="82ec5aff-58b2-4fb8-8e7a-73c165f5a75e"/>
    <ds:schemaRef ds:uri="a8f60570-4bd3-4f2b-950b-a996de8ab151"/>
  </ds:schemaRefs>
</ds:datastoreItem>
</file>

<file path=customXml/itemProps3.xml><?xml version="1.0" encoding="utf-8"?>
<ds:datastoreItem xmlns:ds="http://schemas.openxmlformats.org/officeDocument/2006/customXml" ds:itemID="{F823CECE-D352-4AC3-8DC1-BD0F62D6C833}">
  <ds:schemaRefs>
    <ds:schemaRef ds:uri="http://schemas.openxmlformats.org/officeDocument/2006/bibliography"/>
  </ds:schemaRefs>
</ds:datastoreItem>
</file>

<file path=customXml/itemProps4.xml><?xml version="1.0" encoding="utf-8"?>
<ds:datastoreItem xmlns:ds="http://schemas.openxmlformats.org/officeDocument/2006/customXml" ds:itemID="{E45E3188-6C66-4623-B8F4-B272B08F00CE}"/>
</file>

<file path=customXml/itemProps5.xml><?xml version="1.0" encoding="utf-8"?>
<ds:datastoreItem xmlns:ds="http://schemas.openxmlformats.org/officeDocument/2006/customXml" ds:itemID="{BBBFD3E0-334B-4E5D-A8BE-AEB8E7C4BC7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591</TotalTime>
  <Pages>18</Pages>
  <Words>2878</Words>
  <Characters>16411</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BEIS Document Template - Standard Numbering - Curve Only Cover Page Image</vt:lpstr>
    </vt:vector>
  </TitlesOfParts>
  <Manager>BEIS</Manager>
  <Company>BEIS</Company>
  <LinksUpToDate>false</LinksUpToDate>
  <CharactersWithSpaces>19251</CharactersWithSpaces>
  <SharedDoc>false</SharedDoc>
  <HLinks>
    <vt:vector size="114" baseType="variant">
      <vt:variant>
        <vt:i4>6881390</vt:i4>
      </vt:variant>
      <vt:variant>
        <vt:i4>108</vt:i4>
      </vt:variant>
      <vt:variant>
        <vt:i4>0</vt:i4>
      </vt:variant>
      <vt:variant>
        <vt:i4>5</vt:i4>
      </vt:variant>
      <vt:variant>
        <vt:lpwstr>https://www.gov.uk/beis</vt:lpwstr>
      </vt:variant>
      <vt:variant>
        <vt:lpwstr/>
      </vt:variant>
      <vt:variant>
        <vt:i4>3670022</vt:i4>
      </vt:variant>
      <vt:variant>
        <vt:i4>105</vt:i4>
      </vt:variant>
      <vt:variant>
        <vt:i4>0</vt:i4>
      </vt:variant>
      <vt:variant>
        <vt:i4>5</vt:i4>
      </vt:variant>
      <vt:variant>
        <vt:lpwstr>mailto:psi@nationalarchives.gsi.gov.uk</vt:lpwstr>
      </vt:variant>
      <vt:variant>
        <vt:lpwstr/>
      </vt:variant>
      <vt:variant>
        <vt:i4>5505035</vt:i4>
      </vt:variant>
      <vt:variant>
        <vt:i4>102</vt:i4>
      </vt:variant>
      <vt:variant>
        <vt:i4>0</vt:i4>
      </vt:variant>
      <vt:variant>
        <vt:i4>5</vt:i4>
      </vt:variant>
      <vt:variant>
        <vt:lpwstr>http://www.nationalarchives.gov.uk/doc/open-government-licence/version/3</vt:lpwstr>
      </vt:variant>
      <vt:variant>
        <vt:lpwstr/>
      </vt:variant>
      <vt:variant>
        <vt:i4>1048628</vt:i4>
      </vt:variant>
      <vt:variant>
        <vt:i4>86</vt:i4>
      </vt:variant>
      <vt:variant>
        <vt:i4>0</vt:i4>
      </vt:variant>
      <vt:variant>
        <vt:i4>5</vt:i4>
      </vt:variant>
      <vt:variant>
        <vt:lpwstr/>
      </vt:variant>
      <vt:variant>
        <vt:lpwstr>_Toc58423964</vt:lpwstr>
      </vt:variant>
      <vt:variant>
        <vt:i4>1507380</vt:i4>
      </vt:variant>
      <vt:variant>
        <vt:i4>80</vt:i4>
      </vt:variant>
      <vt:variant>
        <vt:i4>0</vt:i4>
      </vt:variant>
      <vt:variant>
        <vt:i4>5</vt:i4>
      </vt:variant>
      <vt:variant>
        <vt:lpwstr/>
      </vt:variant>
      <vt:variant>
        <vt:lpwstr>_Toc58423963</vt:lpwstr>
      </vt:variant>
      <vt:variant>
        <vt:i4>1441844</vt:i4>
      </vt:variant>
      <vt:variant>
        <vt:i4>74</vt:i4>
      </vt:variant>
      <vt:variant>
        <vt:i4>0</vt:i4>
      </vt:variant>
      <vt:variant>
        <vt:i4>5</vt:i4>
      </vt:variant>
      <vt:variant>
        <vt:lpwstr/>
      </vt:variant>
      <vt:variant>
        <vt:lpwstr>_Toc58423962</vt:lpwstr>
      </vt:variant>
      <vt:variant>
        <vt:i4>1376308</vt:i4>
      </vt:variant>
      <vt:variant>
        <vt:i4>68</vt:i4>
      </vt:variant>
      <vt:variant>
        <vt:i4>0</vt:i4>
      </vt:variant>
      <vt:variant>
        <vt:i4>5</vt:i4>
      </vt:variant>
      <vt:variant>
        <vt:lpwstr/>
      </vt:variant>
      <vt:variant>
        <vt:lpwstr>_Toc58423961</vt:lpwstr>
      </vt:variant>
      <vt:variant>
        <vt:i4>1310772</vt:i4>
      </vt:variant>
      <vt:variant>
        <vt:i4>62</vt:i4>
      </vt:variant>
      <vt:variant>
        <vt:i4>0</vt:i4>
      </vt:variant>
      <vt:variant>
        <vt:i4>5</vt:i4>
      </vt:variant>
      <vt:variant>
        <vt:lpwstr/>
      </vt:variant>
      <vt:variant>
        <vt:lpwstr>_Toc58423960</vt:lpwstr>
      </vt:variant>
      <vt:variant>
        <vt:i4>1900599</vt:i4>
      </vt:variant>
      <vt:variant>
        <vt:i4>56</vt:i4>
      </vt:variant>
      <vt:variant>
        <vt:i4>0</vt:i4>
      </vt:variant>
      <vt:variant>
        <vt:i4>5</vt:i4>
      </vt:variant>
      <vt:variant>
        <vt:lpwstr/>
      </vt:variant>
      <vt:variant>
        <vt:lpwstr>_Toc58423959</vt:lpwstr>
      </vt:variant>
      <vt:variant>
        <vt:i4>1835063</vt:i4>
      </vt:variant>
      <vt:variant>
        <vt:i4>50</vt:i4>
      </vt:variant>
      <vt:variant>
        <vt:i4>0</vt:i4>
      </vt:variant>
      <vt:variant>
        <vt:i4>5</vt:i4>
      </vt:variant>
      <vt:variant>
        <vt:lpwstr/>
      </vt:variant>
      <vt:variant>
        <vt:lpwstr>_Toc58423958</vt:lpwstr>
      </vt:variant>
      <vt:variant>
        <vt:i4>1245239</vt:i4>
      </vt:variant>
      <vt:variant>
        <vt:i4>44</vt:i4>
      </vt:variant>
      <vt:variant>
        <vt:i4>0</vt:i4>
      </vt:variant>
      <vt:variant>
        <vt:i4>5</vt:i4>
      </vt:variant>
      <vt:variant>
        <vt:lpwstr/>
      </vt:variant>
      <vt:variant>
        <vt:lpwstr>_Toc58423957</vt:lpwstr>
      </vt:variant>
      <vt:variant>
        <vt:i4>1179703</vt:i4>
      </vt:variant>
      <vt:variant>
        <vt:i4>38</vt:i4>
      </vt:variant>
      <vt:variant>
        <vt:i4>0</vt:i4>
      </vt:variant>
      <vt:variant>
        <vt:i4>5</vt:i4>
      </vt:variant>
      <vt:variant>
        <vt:lpwstr/>
      </vt:variant>
      <vt:variant>
        <vt:lpwstr>_Toc58423956</vt:lpwstr>
      </vt:variant>
      <vt:variant>
        <vt:i4>1114167</vt:i4>
      </vt:variant>
      <vt:variant>
        <vt:i4>32</vt:i4>
      </vt:variant>
      <vt:variant>
        <vt:i4>0</vt:i4>
      </vt:variant>
      <vt:variant>
        <vt:i4>5</vt:i4>
      </vt:variant>
      <vt:variant>
        <vt:lpwstr/>
      </vt:variant>
      <vt:variant>
        <vt:lpwstr>_Toc58423955</vt:lpwstr>
      </vt:variant>
      <vt:variant>
        <vt:i4>1048631</vt:i4>
      </vt:variant>
      <vt:variant>
        <vt:i4>26</vt:i4>
      </vt:variant>
      <vt:variant>
        <vt:i4>0</vt:i4>
      </vt:variant>
      <vt:variant>
        <vt:i4>5</vt:i4>
      </vt:variant>
      <vt:variant>
        <vt:lpwstr/>
      </vt:variant>
      <vt:variant>
        <vt:lpwstr>_Toc58423954</vt:lpwstr>
      </vt:variant>
      <vt:variant>
        <vt:i4>1507383</vt:i4>
      </vt:variant>
      <vt:variant>
        <vt:i4>20</vt:i4>
      </vt:variant>
      <vt:variant>
        <vt:i4>0</vt:i4>
      </vt:variant>
      <vt:variant>
        <vt:i4>5</vt:i4>
      </vt:variant>
      <vt:variant>
        <vt:lpwstr/>
      </vt:variant>
      <vt:variant>
        <vt:lpwstr>_Toc58423953</vt:lpwstr>
      </vt:variant>
      <vt:variant>
        <vt:i4>1441847</vt:i4>
      </vt:variant>
      <vt:variant>
        <vt:i4>14</vt:i4>
      </vt:variant>
      <vt:variant>
        <vt:i4>0</vt:i4>
      </vt:variant>
      <vt:variant>
        <vt:i4>5</vt:i4>
      </vt:variant>
      <vt:variant>
        <vt:lpwstr/>
      </vt:variant>
      <vt:variant>
        <vt:lpwstr>_Toc58423952</vt:lpwstr>
      </vt:variant>
      <vt:variant>
        <vt:i4>1376311</vt:i4>
      </vt:variant>
      <vt:variant>
        <vt:i4>8</vt:i4>
      </vt:variant>
      <vt:variant>
        <vt:i4>0</vt:i4>
      </vt:variant>
      <vt:variant>
        <vt:i4>5</vt:i4>
      </vt:variant>
      <vt:variant>
        <vt:lpwstr/>
      </vt:variant>
      <vt:variant>
        <vt:lpwstr>_Toc58423951</vt:lpwstr>
      </vt:variant>
      <vt:variant>
        <vt:i4>1310775</vt:i4>
      </vt:variant>
      <vt:variant>
        <vt:i4>2</vt:i4>
      </vt:variant>
      <vt:variant>
        <vt:i4>0</vt:i4>
      </vt:variant>
      <vt:variant>
        <vt:i4>5</vt:i4>
      </vt:variant>
      <vt:variant>
        <vt:lpwstr/>
      </vt:variant>
      <vt:variant>
        <vt:lpwstr>_Toc58423950</vt:lpwstr>
      </vt:variant>
      <vt:variant>
        <vt:i4>720897</vt:i4>
      </vt:variant>
      <vt:variant>
        <vt:i4>0</vt:i4>
      </vt:variant>
      <vt:variant>
        <vt:i4>0</vt:i4>
      </vt:variant>
      <vt:variant>
        <vt:i4>5</vt:i4>
      </vt:variant>
      <vt:variant>
        <vt:lpwstr>https://www.gov.uk/government/publications/specification-for-the-zp1221-01-geiger-muller-tube--2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BEIS Document Template - Standard Numbering - Curve Only Cover Page Image</dc:title>
  <dc:subject>BEIS Document Template - Standard Numbering - Curve Only Cover Page Image</dc:subject>
  <dc:creator>Watson, William (BEIS)</dc:creator>
  <cp:keywords/>
  <cp:lastModifiedBy>Watson, William (Civil Nuclear &amp; Resilience)</cp:lastModifiedBy>
  <cp:revision>548</cp:revision>
  <cp:lastPrinted>2015-12-08T09:15:00Z</cp:lastPrinted>
  <dcterms:created xsi:type="dcterms:W3CDTF">2020-12-04T10:10:00Z</dcterms:created>
  <dcterms:modified xsi:type="dcterms:W3CDTF">2020-12-10T09:26:00Z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62f585-b40f-4ab9-bafe-39150f03d124_Enabled">
    <vt:lpwstr>true</vt:lpwstr>
  </property>
  <property fmtid="{D5CDD505-2E9C-101B-9397-08002B2CF9AE}" pid="3" name="MSIP_Label_ba62f585-b40f-4ab9-bafe-39150f03d124_SetDate">
    <vt:lpwstr>2020-02-24T16:58:06Z</vt:lpwstr>
  </property>
  <property fmtid="{D5CDD505-2E9C-101B-9397-08002B2CF9AE}" pid="4" name="MSIP_Label_ba62f585-b40f-4ab9-bafe-39150f03d124_Method">
    <vt:lpwstr>Standard</vt:lpwstr>
  </property>
  <property fmtid="{D5CDD505-2E9C-101B-9397-08002B2CF9AE}" pid="5" name="MSIP_Label_ba62f585-b40f-4ab9-bafe-39150f03d124_Name">
    <vt:lpwstr>OFFICIAL</vt:lpwstr>
  </property>
  <property fmtid="{D5CDD505-2E9C-101B-9397-08002B2CF9AE}" pid="6" name="MSIP_Label_ba62f585-b40f-4ab9-bafe-39150f03d124_SiteId">
    <vt:lpwstr>cbac7005-02c1-43eb-b497-e6492d1b2dd8</vt:lpwstr>
  </property>
  <property fmtid="{D5CDD505-2E9C-101B-9397-08002B2CF9AE}" pid="7" name="MSIP_Label_ba62f585-b40f-4ab9-bafe-39150f03d124_ActionId">
    <vt:lpwstr>36da25b9-58c8-4cc3-ad6a-0000b4a6b5c8</vt:lpwstr>
  </property>
  <property fmtid="{D5CDD505-2E9C-101B-9397-08002B2CF9AE}" pid="8" name="MSIP_Label_ba62f585-b40f-4ab9-bafe-39150f03d124_ContentBits">
    <vt:lpwstr>0</vt:lpwstr>
  </property>
  <property fmtid="{D5CDD505-2E9C-101B-9397-08002B2CF9AE}" pid="9" name="ContentTypeId">
    <vt:lpwstr>0x0101003941CA545DA96F4297EBF9FD1D1C86A3</vt:lpwstr>
  </property>
  <property fmtid="{D5CDD505-2E9C-101B-9397-08002B2CF9AE}" pid="10" name="Business Unit">
    <vt:lpwstr>2;#Nuclear Resilience and Non Proliferation|f3db8468-05ab-4772-b298-b4c9aa2e6775</vt:lpwstr>
  </property>
  <property fmtid="{D5CDD505-2E9C-101B-9397-08002B2CF9AE}" pid="11" name="_dlc_DocIdItemGuid">
    <vt:lpwstr>251302cb-0eb2-4a8f-8e9a-2708a03a7607</vt:lpwstr>
  </property>
</Properties>
</file>